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42DE" w:rsidRPr="00F357F5" w:rsidRDefault="00CD42DE" w:rsidP="00F357F5">
      <w:pPr>
        <w:pStyle w:val="Default"/>
        <w:spacing w:line="276" w:lineRule="auto"/>
        <w:jc w:val="both"/>
        <w:rPr>
          <w:b/>
          <w:bCs/>
          <w:color w:val="auto"/>
          <w:sz w:val="20"/>
          <w:szCs w:val="20"/>
        </w:rPr>
      </w:pPr>
      <w:bookmarkStart w:id="0" w:name="_GoBack"/>
      <w:r w:rsidRPr="00F357F5">
        <w:rPr>
          <w:b/>
          <w:bCs/>
          <w:color w:val="auto"/>
          <w:sz w:val="20"/>
          <w:szCs w:val="20"/>
        </w:rPr>
        <w:t xml:space="preserve">THE REGISTRATION OF </w:t>
      </w:r>
      <w:r w:rsidR="00241726" w:rsidRPr="00F357F5">
        <w:rPr>
          <w:b/>
          <w:bCs/>
          <w:color w:val="auto"/>
          <w:sz w:val="20"/>
          <w:szCs w:val="20"/>
        </w:rPr>
        <w:t>TRADE MARKS</w:t>
      </w:r>
      <w:r w:rsidRPr="00F357F5">
        <w:rPr>
          <w:b/>
          <w:bCs/>
          <w:color w:val="auto"/>
          <w:sz w:val="20"/>
          <w:szCs w:val="20"/>
        </w:rPr>
        <w:t xml:space="preserve"> </w:t>
      </w:r>
    </w:p>
    <w:bookmarkEnd w:id="0"/>
    <w:p w:rsidR="004378F4" w:rsidRPr="00F357F5" w:rsidRDefault="004378F4" w:rsidP="00F357F5">
      <w:pPr>
        <w:pStyle w:val="Default"/>
        <w:spacing w:line="276" w:lineRule="auto"/>
        <w:jc w:val="both"/>
        <w:rPr>
          <w:color w:val="auto"/>
          <w:sz w:val="20"/>
          <w:szCs w:val="20"/>
        </w:rPr>
      </w:pPr>
    </w:p>
    <w:p w:rsidR="00CD42DE" w:rsidRPr="00F357F5" w:rsidRDefault="00CD42DE" w:rsidP="00F357F5">
      <w:pPr>
        <w:pStyle w:val="Default"/>
        <w:spacing w:line="276" w:lineRule="auto"/>
        <w:jc w:val="both"/>
        <w:rPr>
          <w:color w:val="auto"/>
          <w:sz w:val="20"/>
          <w:szCs w:val="20"/>
        </w:rPr>
      </w:pPr>
      <w:r w:rsidRPr="00F357F5">
        <w:rPr>
          <w:color w:val="auto"/>
          <w:sz w:val="20"/>
          <w:szCs w:val="20"/>
        </w:rPr>
        <w:t xml:space="preserve">The registration of </w:t>
      </w:r>
      <w:proofErr w:type="spellStart"/>
      <w:r w:rsidR="00241726" w:rsidRPr="00F357F5">
        <w:rPr>
          <w:color w:val="auto"/>
          <w:sz w:val="20"/>
          <w:szCs w:val="20"/>
        </w:rPr>
        <w:t>trade marks</w:t>
      </w:r>
      <w:proofErr w:type="spellEnd"/>
      <w:r w:rsidRPr="00F357F5">
        <w:rPr>
          <w:color w:val="auto"/>
          <w:sz w:val="20"/>
          <w:szCs w:val="20"/>
        </w:rPr>
        <w:t xml:space="preserve"> is governed by the provisions of the Trade Marks Act 194 of 1993. The important criterion for registration is whether a mark is capable of distinguishing the goods of one trader from those of another (</w:t>
      </w:r>
      <w:r w:rsidR="00241726" w:rsidRPr="00F357F5">
        <w:rPr>
          <w:color w:val="auto"/>
          <w:sz w:val="20"/>
          <w:szCs w:val="20"/>
        </w:rPr>
        <w:t>s</w:t>
      </w:r>
      <w:r w:rsidR="004378F4" w:rsidRPr="00F357F5">
        <w:rPr>
          <w:color w:val="auto"/>
          <w:sz w:val="20"/>
          <w:szCs w:val="20"/>
        </w:rPr>
        <w:t xml:space="preserve">ection </w:t>
      </w:r>
      <w:r w:rsidRPr="00F357F5">
        <w:rPr>
          <w:color w:val="auto"/>
          <w:sz w:val="20"/>
          <w:szCs w:val="20"/>
        </w:rPr>
        <w:t>9(1)). It is</w:t>
      </w:r>
      <w:r w:rsidR="004378F4" w:rsidRPr="00F357F5">
        <w:rPr>
          <w:color w:val="auto"/>
          <w:sz w:val="20"/>
          <w:szCs w:val="20"/>
        </w:rPr>
        <w:t>,</w:t>
      </w:r>
      <w:r w:rsidRPr="00F357F5">
        <w:rPr>
          <w:color w:val="auto"/>
          <w:sz w:val="20"/>
          <w:szCs w:val="20"/>
        </w:rPr>
        <w:t xml:space="preserve"> however</w:t>
      </w:r>
      <w:r w:rsidR="004378F4" w:rsidRPr="00F357F5">
        <w:rPr>
          <w:color w:val="auto"/>
          <w:sz w:val="20"/>
          <w:szCs w:val="20"/>
        </w:rPr>
        <w:t>,</w:t>
      </w:r>
      <w:r w:rsidRPr="00F357F5">
        <w:rPr>
          <w:color w:val="auto"/>
          <w:sz w:val="20"/>
          <w:szCs w:val="20"/>
        </w:rPr>
        <w:t xml:space="preserve"> clear that before this aspect can be evaluated, there must be certainty that the matter qualifies as a “</w:t>
      </w:r>
      <w:r w:rsidR="00241726" w:rsidRPr="00F357F5">
        <w:rPr>
          <w:color w:val="auto"/>
          <w:sz w:val="20"/>
          <w:szCs w:val="20"/>
        </w:rPr>
        <w:t>trade mark</w:t>
      </w:r>
      <w:r w:rsidRPr="00F357F5">
        <w:rPr>
          <w:color w:val="auto"/>
          <w:sz w:val="20"/>
          <w:szCs w:val="20"/>
        </w:rPr>
        <w:t xml:space="preserve">” in terms of the Act. The Act defines “mark” in </w:t>
      </w:r>
      <w:r w:rsidR="00241726" w:rsidRPr="00F357F5">
        <w:rPr>
          <w:color w:val="auto"/>
          <w:sz w:val="20"/>
          <w:szCs w:val="20"/>
        </w:rPr>
        <w:t>s</w:t>
      </w:r>
      <w:r w:rsidR="004378F4" w:rsidRPr="00F357F5">
        <w:rPr>
          <w:color w:val="auto"/>
          <w:sz w:val="20"/>
          <w:szCs w:val="20"/>
        </w:rPr>
        <w:t xml:space="preserve">ection </w:t>
      </w:r>
      <w:r w:rsidRPr="00F357F5">
        <w:rPr>
          <w:color w:val="auto"/>
          <w:sz w:val="20"/>
          <w:szCs w:val="20"/>
        </w:rPr>
        <w:t xml:space="preserve">2 to include any sign capable of being represented graphically. </w:t>
      </w:r>
      <w:r w:rsidR="004378F4" w:rsidRPr="00F357F5">
        <w:rPr>
          <w:color w:val="auto"/>
          <w:sz w:val="20"/>
          <w:szCs w:val="20"/>
        </w:rPr>
        <w:t>This requirement</w:t>
      </w:r>
      <w:r w:rsidRPr="00F357F5">
        <w:rPr>
          <w:color w:val="auto"/>
          <w:sz w:val="20"/>
          <w:szCs w:val="20"/>
        </w:rPr>
        <w:t xml:space="preserve"> is intended to provide legal certainty regarding the scope of rights brought about by a particular mark</w:t>
      </w:r>
      <w:r w:rsidR="004378F4" w:rsidRPr="00F357F5">
        <w:rPr>
          <w:color w:val="auto"/>
          <w:sz w:val="20"/>
          <w:szCs w:val="20"/>
        </w:rPr>
        <w:t>’</w:t>
      </w:r>
      <w:r w:rsidRPr="00F357F5">
        <w:rPr>
          <w:color w:val="auto"/>
          <w:sz w:val="20"/>
          <w:szCs w:val="20"/>
        </w:rPr>
        <w:t xml:space="preserve">s registration. </w:t>
      </w:r>
    </w:p>
    <w:p w:rsidR="004378F4" w:rsidRPr="00F357F5" w:rsidRDefault="004378F4" w:rsidP="00F357F5">
      <w:pPr>
        <w:pStyle w:val="Default"/>
        <w:spacing w:line="276" w:lineRule="auto"/>
        <w:jc w:val="both"/>
        <w:rPr>
          <w:color w:val="auto"/>
          <w:sz w:val="20"/>
          <w:szCs w:val="20"/>
        </w:rPr>
      </w:pPr>
    </w:p>
    <w:p w:rsidR="00CD42DE" w:rsidRPr="00F357F5" w:rsidRDefault="00CD42DE" w:rsidP="00F357F5">
      <w:pPr>
        <w:pStyle w:val="Default"/>
        <w:spacing w:line="276" w:lineRule="auto"/>
        <w:jc w:val="both"/>
        <w:rPr>
          <w:color w:val="auto"/>
          <w:sz w:val="20"/>
          <w:szCs w:val="20"/>
        </w:rPr>
      </w:pPr>
      <w:r w:rsidRPr="00F357F5">
        <w:rPr>
          <w:color w:val="auto"/>
          <w:sz w:val="20"/>
          <w:szCs w:val="20"/>
        </w:rPr>
        <w:t xml:space="preserve">It is not always a simple matter though to “pin down” as dynamic an item as a </w:t>
      </w:r>
      <w:r w:rsidR="00241726" w:rsidRPr="00F357F5">
        <w:rPr>
          <w:color w:val="auto"/>
          <w:sz w:val="20"/>
          <w:szCs w:val="20"/>
        </w:rPr>
        <w:t>trade mark</w:t>
      </w:r>
      <w:r w:rsidRPr="00F357F5">
        <w:rPr>
          <w:color w:val="auto"/>
          <w:sz w:val="20"/>
          <w:szCs w:val="20"/>
        </w:rPr>
        <w:t xml:space="preserve">. One of the reasons is the fact that a </w:t>
      </w:r>
      <w:r w:rsidR="00241726" w:rsidRPr="00F357F5">
        <w:rPr>
          <w:color w:val="auto"/>
          <w:sz w:val="20"/>
          <w:szCs w:val="20"/>
        </w:rPr>
        <w:t>trade mark</w:t>
      </w:r>
      <w:r w:rsidRPr="00F357F5">
        <w:rPr>
          <w:color w:val="auto"/>
          <w:sz w:val="20"/>
          <w:szCs w:val="20"/>
        </w:rPr>
        <w:t xml:space="preserve"> can relate to a number of human senses. First, of course, is matter that can be seen. “Visible” </w:t>
      </w:r>
      <w:proofErr w:type="spellStart"/>
      <w:r w:rsidR="00241726" w:rsidRPr="00F357F5">
        <w:rPr>
          <w:color w:val="auto"/>
          <w:sz w:val="20"/>
          <w:szCs w:val="20"/>
        </w:rPr>
        <w:t>trade marks</w:t>
      </w:r>
      <w:proofErr w:type="spellEnd"/>
      <w:r w:rsidRPr="00F357F5">
        <w:rPr>
          <w:color w:val="auto"/>
          <w:sz w:val="20"/>
          <w:szCs w:val="20"/>
        </w:rPr>
        <w:t xml:space="preserve"> can be words such as </w:t>
      </w:r>
      <w:r w:rsidR="004378F4" w:rsidRPr="00F357F5">
        <w:rPr>
          <w:color w:val="auto"/>
          <w:sz w:val="20"/>
          <w:szCs w:val="20"/>
        </w:rPr>
        <w:t>Sanlam</w:t>
      </w:r>
      <w:r w:rsidRPr="00F357F5">
        <w:rPr>
          <w:color w:val="auto"/>
          <w:sz w:val="20"/>
          <w:szCs w:val="20"/>
        </w:rPr>
        <w:t xml:space="preserve">, </w:t>
      </w:r>
      <w:r w:rsidR="004378F4" w:rsidRPr="00F357F5">
        <w:rPr>
          <w:color w:val="auto"/>
          <w:sz w:val="20"/>
          <w:szCs w:val="20"/>
        </w:rPr>
        <w:t>Nintendo</w:t>
      </w:r>
      <w:r w:rsidRPr="00F357F5">
        <w:rPr>
          <w:color w:val="auto"/>
          <w:sz w:val="20"/>
          <w:szCs w:val="20"/>
        </w:rPr>
        <w:t xml:space="preserve"> or </w:t>
      </w:r>
      <w:r w:rsidR="004378F4" w:rsidRPr="00F357F5">
        <w:rPr>
          <w:color w:val="auto"/>
          <w:sz w:val="20"/>
          <w:szCs w:val="20"/>
        </w:rPr>
        <w:t>National Geographic</w:t>
      </w:r>
      <w:r w:rsidRPr="00F357F5">
        <w:rPr>
          <w:color w:val="auto"/>
          <w:sz w:val="20"/>
          <w:szCs w:val="20"/>
        </w:rPr>
        <w:t>. In some of these and other instances</w:t>
      </w:r>
      <w:r w:rsidR="004378F4" w:rsidRPr="00F357F5">
        <w:rPr>
          <w:color w:val="auto"/>
          <w:sz w:val="20"/>
          <w:szCs w:val="20"/>
        </w:rPr>
        <w:t>,</w:t>
      </w:r>
      <w:r w:rsidRPr="00F357F5">
        <w:rPr>
          <w:color w:val="auto"/>
          <w:sz w:val="20"/>
          <w:szCs w:val="20"/>
        </w:rPr>
        <w:t xml:space="preserve"> the words can be combined with a logo, such as the standard bearer of </w:t>
      </w:r>
      <w:r w:rsidR="004378F4" w:rsidRPr="00F357F5">
        <w:rPr>
          <w:color w:val="auto"/>
          <w:sz w:val="20"/>
          <w:szCs w:val="20"/>
        </w:rPr>
        <w:t>Standard Bank</w:t>
      </w:r>
      <w:r w:rsidRPr="00F357F5">
        <w:rPr>
          <w:color w:val="auto"/>
          <w:sz w:val="20"/>
          <w:szCs w:val="20"/>
        </w:rPr>
        <w:t xml:space="preserve">, the mountain and stars used with </w:t>
      </w:r>
      <w:r w:rsidR="004378F4" w:rsidRPr="00F357F5">
        <w:rPr>
          <w:color w:val="auto"/>
          <w:sz w:val="20"/>
          <w:szCs w:val="20"/>
        </w:rPr>
        <w:t>Viacom</w:t>
      </w:r>
      <w:r w:rsidRPr="00F357F5">
        <w:rPr>
          <w:color w:val="auto"/>
          <w:sz w:val="20"/>
          <w:szCs w:val="20"/>
        </w:rPr>
        <w:t xml:space="preserve"> and the horse and rider used with </w:t>
      </w:r>
      <w:r w:rsidR="004378F4" w:rsidRPr="00F357F5">
        <w:rPr>
          <w:color w:val="auto"/>
          <w:sz w:val="20"/>
          <w:szCs w:val="20"/>
        </w:rPr>
        <w:t>Polo</w:t>
      </w:r>
      <w:r w:rsidRPr="00F357F5">
        <w:rPr>
          <w:color w:val="auto"/>
          <w:sz w:val="20"/>
          <w:szCs w:val="20"/>
        </w:rPr>
        <w:t>. In some instances, the marks of more than one proprietor can be used in relation to the same product, such as th</w:t>
      </w:r>
      <w:r w:rsidR="00241726" w:rsidRPr="00F357F5">
        <w:rPr>
          <w:color w:val="auto"/>
          <w:sz w:val="20"/>
          <w:szCs w:val="20"/>
        </w:rPr>
        <w:t xml:space="preserve">ose on rugby jerseys for instance </w:t>
      </w:r>
      <w:r w:rsidRPr="00F357F5">
        <w:rPr>
          <w:color w:val="auto"/>
          <w:sz w:val="20"/>
          <w:szCs w:val="20"/>
        </w:rPr>
        <w:t xml:space="preserve">(see, in general, </w:t>
      </w:r>
      <w:r w:rsidR="006E1387" w:rsidRPr="00F357F5">
        <w:rPr>
          <w:i/>
          <w:color w:val="auto"/>
          <w:sz w:val="20"/>
          <w:szCs w:val="20"/>
        </w:rPr>
        <w:t>SAFA v Stanton Woodrush (Pty) Ltd</w:t>
      </w:r>
      <w:r w:rsidR="00241726" w:rsidRPr="00F357F5">
        <w:rPr>
          <w:color w:val="auto"/>
          <w:sz w:val="20"/>
          <w:szCs w:val="20"/>
        </w:rPr>
        <w:t xml:space="preserve"> 2003</w:t>
      </w:r>
      <w:r w:rsidRPr="00F357F5">
        <w:rPr>
          <w:color w:val="auto"/>
          <w:sz w:val="20"/>
          <w:szCs w:val="20"/>
        </w:rPr>
        <w:t xml:space="preserve"> 1 All SA 274 (SCA)). Marks that are visual need not be stationary. An example is a mark consisting of a man tapping his nose, used in relation to financial services, which has been registered in the United Kingdom. Marks can be letters, such as MTV, HTH or CBS. Surnames can also constitute </w:t>
      </w:r>
      <w:proofErr w:type="spellStart"/>
      <w:r w:rsidR="00241726" w:rsidRPr="00F357F5">
        <w:rPr>
          <w:color w:val="auto"/>
          <w:sz w:val="20"/>
          <w:szCs w:val="20"/>
        </w:rPr>
        <w:t>trade marks</w:t>
      </w:r>
      <w:proofErr w:type="spellEnd"/>
      <w:r w:rsidRPr="00F357F5">
        <w:rPr>
          <w:color w:val="auto"/>
          <w:sz w:val="20"/>
          <w:szCs w:val="20"/>
        </w:rPr>
        <w:t xml:space="preserve"> and some of the most famous marks in the motoring world, for instance, actually have surnames as their origin. Examples here are Andre Citroën, Louis Chevrolet and </w:t>
      </w:r>
      <w:proofErr w:type="spellStart"/>
      <w:r w:rsidRPr="00F357F5">
        <w:rPr>
          <w:color w:val="auto"/>
          <w:sz w:val="20"/>
          <w:szCs w:val="20"/>
        </w:rPr>
        <w:t>Shozo</w:t>
      </w:r>
      <w:proofErr w:type="spellEnd"/>
      <w:r w:rsidRPr="00F357F5">
        <w:rPr>
          <w:color w:val="auto"/>
          <w:sz w:val="20"/>
          <w:szCs w:val="20"/>
        </w:rPr>
        <w:t xml:space="preserve"> Kawasaki. The shape of a product, such as a container for liquids, can also be a </w:t>
      </w:r>
      <w:r w:rsidR="00241726" w:rsidRPr="00F357F5">
        <w:rPr>
          <w:color w:val="auto"/>
          <w:sz w:val="20"/>
          <w:szCs w:val="20"/>
        </w:rPr>
        <w:t>trade mark</w:t>
      </w:r>
      <w:r w:rsidRPr="00F357F5">
        <w:rPr>
          <w:color w:val="auto"/>
          <w:sz w:val="20"/>
          <w:szCs w:val="20"/>
        </w:rPr>
        <w:t xml:space="preserve">. </w:t>
      </w:r>
    </w:p>
    <w:p w:rsidR="004378F4" w:rsidRPr="00F357F5" w:rsidRDefault="004378F4" w:rsidP="00F357F5">
      <w:pPr>
        <w:pStyle w:val="Default"/>
        <w:spacing w:line="276" w:lineRule="auto"/>
        <w:jc w:val="both"/>
        <w:rPr>
          <w:color w:val="auto"/>
          <w:sz w:val="20"/>
          <w:szCs w:val="20"/>
        </w:rPr>
      </w:pPr>
    </w:p>
    <w:p w:rsidR="00CD42DE" w:rsidRPr="00F357F5" w:rsidRDefault="00CD42DE" w:rsidP="00F357F5">
      <w:pPr>
        <w:pStyle w:val="Default"/>
        <w:spacing w:line="276" w:lineRule="auto"/>
        <w:jc w:val="both"/>
        <w:rPr>
          <w:color w:val="auto"/>
          <w:sz w:val="20"/>
          <w:szCs w:val="20"/>
        </w:rPr>
      </w:pPr>
      <w:r w:rsidRPr="00F357F5">
        <w:rPr>
          <w:color w:val="auto"/>
          <w:sz w:val="20"/>
          <w:szCs w:val="20"/>
        </w:rPr>
        <w:t xml:space="preserve">In terms of the Act, colours can also be </w:t>
      </w:r>
      <w:proofErr w:type="spellStart"/>
      <w:r w:rsidR="00241726" w:rsidRPr="00F357F5">
        <w:rPr>
          <w:color w:val="auto"/>
          <w:sz w:val="20"/>
          <w:szCs w:val="20"/>
        </w:rPr>
        <w:t>trade marks</w:t>
      </w:r>
      <w:proofErr w:type="spellEnd"/>
      <w:r w:rsidRPr="00F357F5">
        <w:rPr>
          <w:color w:val="auto"/>
          <w:sz w:val="20"/>
          <w:szCs w:val="20"/>
        </w:rPr>
        <w:t>. This aspect is controversial</w:t>
      </w:r>
      <w:r w:rsidR="004378F4" w:rsidRPr="00F357F5">
        <w:rPr>
          <w:color w:val="auto"/>
          <w:sz w:val="20"/>
          <w:szCs w:val="20"/>
        </w:rPr>
        <w:t>,</w:t>
      </w:r>
      <w:r w:rsidRPr="00F357F5">
        <w:rPr>
          <w:color w:val="auto"/>
          <w:sz w:val="20"/>
          <w:szCs w:val="20"/>
        </w:rPr>
        <w:t xml:space="preserve"> however. The Registrar of </w:t>
      </w:r>
      <w:r w:rsidR="00241726" w:rsidRPr="00F357F5">
        <w:rPr>
          <w:color w:val="auto"/>
          <w:sz w:val="20"/>
          <w:szCs w:val="20"/>
        </w:rPr>
        <w:t>Trade Marks</w:t>
      </w:r>
      <w:r w:rsidR="004378F4" w:rsidRPr="00F357F5">
        <w:rPr>
          <w:color w:val="auto"/>
          <w:sz w:val="20"/>
          <w:szCs w:val="20"/>
        </w:rPr>
        <w:t>’</w:t>
      </w:r>
      <w:r w:rsidRPr="00F357F5">
        <w:rPr>
          <w:color w:val="auto"/>
          <w:sz w:val="20"/>
          <w:szCs w:val="20"/>
        </w:rPr>
        <w:t xml:space="preserve"> practice in the past has been to accept applications for colours on their own, without reference to a device or logo of some kind, and in those instances</w:t>
      </w:r>
      <w:r w:rsidR="004378F4" w:rsidRPr="00F357F5">
        <w:rPr>
          <w:color w:val="auto"/>
          <w:sz w:val="20"/>
          <w:szCs w:val="20"/>
        </w:rPr>
        <w:t>,</w:t>
      </w:r>
      <w:r w:rsidRPr="00F357F5">
        <w:rPr>
          <w:color w:val="auto"/>
          <w:sz w:val="20"/>
          <w:szCs w:val="20"/>
        </w:rPr>
        <w:t xml:space="preserve"> an applicant would, for example, simply file two blocks containing the colours. This practice was changed after the decision in </w:t>
      </w:r>
      <w:r w:rsidR="006E1387" w:rsidRPr="00F357F5">
        <w:rPr>
          <w:i/>
          <w:color w:val="auto"/>
          <w:sz w:val="20"/>
          <w:szCs w:val="20"/>
        </w:rPr>
        <w:t>Cadbury Ltd v Beacon Sweets &amp; Chocolates (Pty) Ltd</w:t>
      </w:r>
      <w:r w:rsidRPr="00F357F5">
        <w:rPr>
          <w:color w:val="auto"/>
          <w:sz w:val="20"/>
          <w:szCs w:val="20"/>
        </w:rPr>
        <w:t xml:space="preserve"> 2004 BIP 74 (RTM). In this case</w:t>
      </w:r>
      <w:r w:rsidR="004378F4" w:rsidRPr="00F357F5">
        <w:rPr>
          <w:color w:val="auto"/>
          <w:sz w:val="20"/>
          <w:szCs w:val="20"/>
        </w:rPr>
        <w:t>,</w:t>
      </w:r>
      <w:r w:rsidRPr="00F357F5">
        <w:rPr>
          <w:color w:val="auto"/>
          <w:sz w:val="20"/>
          <w:szCs w:val="20"/>
        </w:rPr>
        <w:t xml:space="preserve"> application was made for registration of “the colour purple” in relation to labels or packaging for chocolate. A representation of the colour accompanied the application. Later</w:t>
      </w:r>
      <w:r w:rsidR="004378F4" w:rsidRPr="00F357F5">
        <w:rPr>
          <w:color w:val="auto"/>
          <w:sz w:val="20"/>
          <w:szCs w:val="20"/>
        </w:rPr>
        <w:t>,</w:t>
      </w:r>
      <w:r w:rsidRPr="00F357F5">
        <w:rPr>
          <w:color w:val="auto"/>
          <w:sz w:val="20"/>
          <w:szCs w:val="20"/>
        </w:rPr>
        <w:t xml:space="preserve"> it was attempted to include an endorsement to refer to a </w:t>
      </w:r>
      <w:r w:rsidR="004378F4" w:rsidRPr="00F357F5">
        <w:rPr>
          <w:color w:val="auto"/>
          <w:sz w:val="20"/>
          <w:szCs w:val="20"/>
        </w:rPr>
        <w:t xml:space="preserve">pantone </w:t>
      </w:r>
      <w:r w:rsidRPr="00F357F5">
        <w:rPr>
          <w:color w:val="auto"/>
          <w:sz w:val="20"/>
          <w:szCs w:val="20"/>
        </w:rPr>
        <w:t xml:space="preserve">number, which is an international colour classification system. </w:t>
      </w:r>
      <w:r w:rsidR="004378F4" w:rsidRPr="00F357F5">
        <w:rPr>
          <w:color w:val="auto"/>
          <w:sz w:val="20"/>
          <w:szCs w:val="20"/>
        </w:rPr>
        <w:t xml:space="preserve">J. </w:t>
      </w:r>
      <w:proofErr w:type="spellStart"/>
      <w:r w:rsidRPr="00F357F5">
        <w:rPr>
          <w:color w:val="auto"/>
          <w:sz w:val="20"/>
          <w:szCs w:val="20"/>
        </w:rPr>
        <w:t>Spoelstra</w:t>
      </w:r>
      <w:proofErr w:type="spellEnd"/>
      <w:r w:rsidRPr="00F357F5">
        <w:rPr>
          <w:color w:val="auto"/>
          <w:sz w:val="20"/>
          <w:szCs w:val="20"/>
        </w:rPr>
        <w:t xml:space="preserve"> referred to the decision of the European Court of Justice (ECJ) in </w:t>
      </w:r>
      <w:proofErr w:type="spellStart"/>
      <w:r w:rsidR="006E1387" w:rsidRPr="00F357F5">
        <w:rPr>
          <w:i/>
          <w:color w:val="auto"/>
          <w:sz w:val="20"/>
          <w:szCs w:val="20"/>
        </w:rPr>
        <w:t>Libertel</w:t>
      </w:r>
      <w:proofErr w:type="spellEnd"/>
      <w:r w:rsidR="006E1387" w:rsidRPr="00F357F5">
        <w:rPr>
          <w:i/>
          <w:color w:val="auto"/>
          <w:sz w:val="20"/>
          <w:szCs w:val="20"/>
        </w:rPr>
        <w:t xml:space="preserve"> </w:t>
      </w:r>
      <w:proofErr w:type="spellStart"/>
      <w:r w:rsidR="006E1387" w:rsidRPr="00F357F5">
        <w:rPr>
          <w:i/>
          <w:color w:val="auto"/>
          <w:sz w:val="20"/>
          <w:szCs w:val="20"/>
        </w:rPr>
        <w:t>Groep</w:t>
      </w:r>
      <w:proofErr w:type="spellEnd"/>
      <w:r w:rsidR="006E1387" w:rsidRPr="00F357F5">
        <w:rPr>
          <w:i/>
          <w:color w:val="auto"/>
          <w:sz w:val="20"/>
          <w:szCs w:val="20"/>
        </w:rPr>
        <w:t xml:space="preserve"> BV v Benelux-</w:t>
      </w:r>
      <w:proofErr w:type="spellStart"/>
      <w:r w:rsidR="006E1387" w:rsidRPr="00F357F5">
        <w:rPr>
          <w:i/>
          <w:color w:val="auto"/>
          <w:sz w:val="20"/>
          <w:szCs w:val="20"/>
        </w:rPr>
        <w:t>Merkenbureau</w:t>
      </w:r>
      <w:proofErr w:type="spellEnd"/>
      <w:r w:rsidR="00241726" w:rsidRPr="00F357F5">
        <w:rPr>
          <w:color w:val="auto"/>
          <w:sz w:val="20"/>
          <w:szCs w:val="20"/>
        </w:rPr>
        <w:t xml:space="preserve"> 2004</w:t>
      </w:r>
      <w:r w:rsidRPr="00F357F5">
        <w:rPr>
          <w:color w:val="auto"/>
          <w:sz w:val="20"/>
          <w:szCs w:val="20"/>
        </w:rPr>
        <w:t xml:space="preserve"> FSR 465. Here</w:t>
      </w:r>
      <w:r w:rsidR="004378F4" w:rsidRPr="00F357F5">
        <w:rPr>
          <w:color w:val="auto"/>
          <w:sz w:val="20"/>
          <w:szCs w:val="20"/>
        </w:rPr>
        <w:t>,</w:t>
      </w:r>
      <w:r w:rsidRPr="00F357F5">
        <w:rPr>
          <w:color w:val="auto"/>
          <w:sz w:val="20"/>
          <w:szCs w:val="20"/>
        </w:rPr>
        <w:t xml:space="preserve"> application was made for registration of the colour “orange” in relation to communication services. The following was said in the latter decision (</w:t>
      </w:r>
      <w:r w:rsidR="00241726" w:rsidRPr="00F357F5">
        <w:rPr>
          <w:color w:val="auto"/>
          <w:sz w:val="20"/>
          <w:szCs w:val="20"/>
        </w:rPr>
        <w:t>par</w:t>
      </w:r>
      <w:r w:rsidR="004378F4" w:rsidRPr="00F357F5">
        <w:rPr>
          <w:color w:val="auto"/>
          <w:sz w:val="20"/>
          <w:szCs w:val="20"/>
        </w:rPr>
        <w:t xml:space="preserve"> </w:t>
      </w:r>
      <w:r w:rsidRPr="00F357F5">
        <w:rPr>
          <w:color w:val="auto"/>
          <w:sz w:val="20"/>
          <w:szCs w:val="20"/>
        </w:rPr>
        <w:t xml:space="preserve">26-27): </w:t>
      </w:r>
    </w:p>
    <w:p w:rsidR="00CC3216" w:rsidRPr="00F357F5" w:rsidRDefault="006E1387" w:rsidP="00F357F5">
      <w:pPr>
        <w:pStyle w:val="Default"/>
        <w:spacing w:line="276" w:lineRule="auto"/>
        <w:ind w:left="567" w:right="567"/>
        <w:jc w:val="both"/>
        <w:rPr>
          <w:color w:val="auto"/>
          <w:sz w:val="20"/>
          <w:szCs w:val="20"/>
        </w:rPr>
      </w:pPr>
      <w:r w:rsidRPr="00F357F5">
        <w:rPr>
          <w:color w:val="auto"/>
          <w:sz w:val="20"/>
          <w:szCs w:val="20"/>
        </w:rPr>
        <w:t xml:space="preserve">Accordingly it is for the Court to determine whether art 2 of the Directive is to be </w:t>
      </w:r>
      <w:proofErr w:type="gramStart"/>
      <w:r w:rsidRPr="00F357F5">
        <w:rPr>
          <w:color w:val="auto"/>
          <w:sz w:val="20"/>
          <w:szCs w:val="20"/>
        </w:rPr>
        <w:t>interpreted</w:t>
      </w:r>
      <w:proofErr w:type="gramEnd"/>
      <w:r w:rsidRPr="00F357F5">
        <w:rPr>
          <w:color w:val="auto"/>
          <w:sz w:val="20"/>
          <w:szCs w:val="20"/>
        </w:rPr>
        <w:t xml:space="preserve"> as meaning that a colour </w:t>
      </w:r>
      <w:r w:rsidRPr="00F357F5">
        <w:rPr>
          <w:i/>
          <w:iCs/>
          <w:color w:val="auto"/>
          <w:sz w:val="20"/>
          <w:szCs w:val="20"/>
        </w:rPr>
        <w:t xml:space="preserve">per se </w:t>
      </w:r>
      <w:r w:rsidRPr="00F357F5">
        <w:rPr>
          <w:color w:val="auto"/>
          <w:sz w:val="20"/>
          <w:szCs w:val="20"/>
        </w:rPr>
        <w:t xml:space="preserve">is capable of constituting a trade mark. In that regard it must be pointed out that a colour </w:t>
      </w:r>
      <w:r w:rsidRPr="00F357F5">
        <w:rPr>
          <w:i/>
          <w:iCs/>
          <w:color w:val="auto"/>
          <w:sz w:val="20"/>
          <w:szCs w:val="20"/>
        </w:rPr>
        <w:t xml:space="preserve">per se </w:t>
      </w:r>
      <w:r w:rsidRPr="00F357F5">
        <w:rPr>
          <w:color w:val="auto"/>
          <w:sz w:val="20"/>
          <w:szCs w:val="20"/>
        </w:rPr>
        <w:t xml:space="preserve">cannot be presumed to constitute a sign. Normally a colour is a simple property of things. Yet it may constitute a sign. That depends on the context in which the colour is used. None the less, a colour </w:t>
      </w:r>
      <w:r w:rsidRPr="00F357F5">
        <w:rPr>
          <w:i/>
          <w:iCs/>
          <w:color w:val="auto"/>
          <w:sz w:val="20"/>
          <w:szCs w:val="20"/>
        </w:rPr>
        <w:t xml:space="preserve">per se </w:t>
      </w:r>
      <w:r w:rsidRPr="00F357F5">
        <w:rPr>
          <w:color w:val="auto"/>
          <w:sz w:val="20"/>
          <w:szCs w:val="20"/>
        </w:rPr>
        <w:t>is capable, in relation to a product or service, of constituting a sign.</w:t>
      </w:r>
    </w:p>
    <w:p w:rsidR="00CD42DE" w:rsidRPr="00F357F5" w:rsidRDefault="00CD42DE" w:rsidP="00F357F5">
      <w:pPr>
        <w:pStyle w:val="Default"/>
        <w:spacing w:line="276" w:lineRule="auto"/>
        <w:jc w:val="both"/>
        <w:rPr>
          <w:color w:val="auto"/>
          <w:sz w:val="20"/>
          <w:szCs w:val="20"/>
        </w:rPr>
      </w:pPr>
    </w:p>
    <w:p w:rsidR="00CD42DE" w:rsidRPr="00F357F5" w:rsidRDefault="00CD42DE" w:rsidP="00F357F5">
      <w:pPr>
        <w:pStyle w:val="Default"/>
        <w:spacing w:line="276" w:lineRule="auto"/>
        <w:jc w:val="both"/>
        <w:rPr>
          <w:color w:val="auto"/>
          <w:sz w:val="20"/>
          <w:szCs w:val="20"/>
        </w:rPr>
      </w:pPr>
      <w:r w:rsidRPr="00F357F5">
        <w:rPr>
          <w:color w:val="auto"/>
          <w:sz w:val="20"/>
          <w:szCs w:val="20"/>
        </w:rPr>
        <w:t xml:space="preserve">In the </w:t>
      </w:r>
      <w:r w:rsidRPr="00F357F5">
        <w:rPr>
          <w:i/>
          <w:color w:val="auto"/>
          <w:sz w:val="20"/>
          <w:szCs w:val="20"/>
        </w:rPr>
        <w:t>Beacon</w:t>
      </w:r>
      <w:r w:rsidRPr="00F357F5">
        <w:rPr>
          <w:color w:val="auto"/>
          <w:sz w:val="20"/>
          <w:szCs w:val="20"/>
        </w:rPr>
        <w:t xml:space="preserve"> case, </w:t>
      </w:r>
      <w:proofErr w:type="spellStart"/>
      <w:r w:rsidRPr="00F357F5">
        <w:rPr>
          <w:color w:val="auto"/>
          <w:sz w:val="20"/>
          <w:szCs w:val="20"/>
        </w:rPr>
        <w:t>Spoelstra</w:t>
      </w:r>
      <w:proofErr w:type="spellEnd"/>
      <w:r w:rsidR="00241726" w:rsidRPr="00F357F5">
        <w:rPr>
          <w:color w:val="auto"/>
          <w:sz w:val="20"/>
          <w:szCs w:val="20"/>
        </w:rPr>
        <w:t xml:space="preserve"> J</w:t>
      </w:r>
      <w:r w:rsidRPr="00F357F5">
        <w:rPr>
          <w:color w:val="auto"/>
          <w:sz w:val="20"/>
          <w:szCs w:val="20"/>
        </w:rPr>
        <w:t xml:space="preserve">, after referring to the above passage, then (83 A-B) stated the following: </w:t>
      </w:r>
    </w:p>
    <w:p w:rsidR="004378F4" w:rsidRPr="00F357F5" w:rsidRDefault="004378F4" w:rsidP="00F357F5">
      <w:pPr>
        <w:pStyle w:val="Default"/>
        <w:spacing w:line="276" w:lineRule="auto"/>
        <w:jc w:val="both"/>
        <w:rPr>
          <w:color w:val="auto"/>
          <w:sz w:val="20"/>
          <w:szCs w:val="20"/>
        </w:rPr>
      </w:pPr>
    </w:p>
    <w:p w:rsidR="00CC3216" w:rsidRPr="00F357F5" w:rsidRDefault="006E1387" w:rsidP="00F357F5">
      <w:pPr>
        <w:pStyle w:val="Default"/>
        <w:spacing w:line="276" w:lineRule="auto"/>
        <w:ind w:left="567" w:right="567"/>
        <w:jc w:val="both"/>
        <w:rPr>
          <w:color w:val="auto"/>
          <w:sz w:val="20"/>
          <w:szCs w:val="20"/>
        </w:rPr>
      </w:pPr>
      <w:r w:rsidRPr="00F357F5">
        <w:rPr>
          <w:color w:val="auto"/>
          <w:sz w:val="20"/>
          <w:szCs w:val="20"/>
        </w:rPr>
        <w:t xml:space="preserve">I understand the above statement to mean that a colour can only constitute a sign or a mark if it is used in a proper context. If this is a correct rendering of that court's view, one can hardly disagree with it. In other words, the colour must be used or applied as a mark in some or other well-defined form. This is a far cry from stating that colour, in isolation, without being used in a distinct fashion, constitutes a mark. If used as a mark, colour </w:t>
      </w:r>
      <w:r w:rsidRPr="00F357F5">
        <w:rPr>
          <w:color w:val="auto"/>
          <w:sz w:val="20"/>
          <w:szCs w:val="20"/>
        </w:rPr>
        <w:lastRenderedPageBreak/>
        <w:t xml:space="preserve">must be </w:t>
      </w:r>
      <w:r w:rsidR="00A174AC" w:rsidRPr="00F357F5">
        <w:rPr>
          <w:color w:val="auto"/>
          <w:sz w:val="20"/>
          <w:szCs w:val="20"/>
        </w:rPr>
        <w:t>‘</w:t>
      </w:r>
      <w:r w:rsidRPr="00F357F5">
        <w:rPr>
          <w:color w:val="auto"/>
          <w:sz w:val="20"/>
          <w:szCs w:val="20"/>
        </w:rPr>
        <w:t>represented visually, particularly by means of images, lines or characters, so that it can be precisely identified</w:t>
      </w:r>
      <w:r w:rsidR="00A174AC" w:rsidRPr="00F357F5">
        <w:rPr>
          <w:color w:val="auto"/>
          <w:sz w:val="20"/>
          <w:szCs w:val="20"/>
        </w:rPr>
        <w:t>’</w:t>
      </w:r>
      <w:r w:rsidRPr="00F357F5">
        <w:rPr>
          <w:color w:val="auto"/>
          <w:sz w:val="20"/>
          <w:szCs w:val="20"/>
        </w:rPr>
        <w:t xml:space="preserve"> (</w:t>
      </w:r>
      <w:r w:rsidRPr="00F357F5">
        <w:rPr>
          <w:i/>
          <w:iCs/>
          <w:color w:val="auto"/>
          <w:sz w:val="20"/>
          <w:szCs w:val="20"/>
        </w:rPr>
        <w:t xml:space="preserve">ibid </w:t>
      </w:r>
      <w:r w:rsidRPr="00F357F5">
        <w:rPr>
          <w:color w:val="auto"/>
          <w:sz w:val="20"/>
          <w:szCs w:val="20"/>
        </w:rPr>
        <w:t>[</w:t>
      </w:r>
      <w:proofErr w:type="spellStart"/>
      <w:r w:rsidRPr="00F357F5">
        <w:rPr>
          <w:i/>
          <w:iCs/>
          <w:color w:val="auto"/>
          <w:sz w:val="20"/>
          <w:szCs w:val="20"/>
        </w:rPr>
        <w:t>Libertel</w:t>
      </w:r>
      <w:proofErr w:type="spellEnd"/>
      <w:r w:rsidRPr="00F357F5">
        <w:rPr>
          <w:color w:val="auto"/>
          <w:sz w:val="20"/>
          <w:szCs w:val="20"/>
        </w:rPr>
        <w:t xml:space="preserve">] at Para 28) and </w:t>
      </w:r>
      <w:r w:rsidR="00A174AC" w:rsidRPr="00F357F5">
        <w:rPr>
          <w:color w:val="auto"/>
          <w:sz w:val="20"/>
          <w:szCs w:val="20"/>
        </w:rPr>
        <w:t>‘</w:t>
      </w:r>
      <w:r w:rsidRPr="00F357F5">
        <w:rPr>
          <w:color w:val="auto"/>
          <w:sz w:val="20"/>
          <w:szCs w:val="20"/>
        </w:rPr>
        <w:t>the graphic representation must be clear, precise, self-contained, easily accessible, intelligible, durable and objective</w:t>
      </w:r>
      <w:r w:rsidR="00A174AC" w:rsidRPr="00F357F5">
        <w:rPr>
          <w:color w:val="auto"/>
          <w:sz w:val="20"/>
          <w:szCs w:val="20"/>
        </w:rPr>
        <w:t>’</w:t>
      </w:r>
      <w:r w:rsidRPr="00F357F5">
        <w:rPr>
          <w:color w:val="auto"/>
          <w:sz w:val="20"/>
          <w:szCs w:val="20"/>
        </w:rPr>
        <w:t xml:space="preserve"> (</w:t>
      </w:r>
      <w:r w:rsidRPr="00F357F5">
        <w:rPr>
          <w:i/>
          <w:iCs/>
          <w:color w:val="auto"/>
          <w:sz w:val="20"/>
          <w:szCs w:val="20"/>
        </w:rPr>
        <w:t xml:space="preserve">ibid </w:t>
      </w:r>
      <w:r w:rsidR="00A174AC" w:rsidRPr="00F357F5">
        <w:rPr>
          <w:color w:val="auto"/>
          <w:sz w:val="20"/>
          <w:szCs w:val="20"/>
        </w:rPr>
        <w:t xml:space="preserve">Para </w:t>
      </w:r>
      <w:r w:rsidRPr="00F357F5">
        <w:rPr>
          <w:color w:val="auto"/>
          <w:sz w:val="20"/>
          <w:szCs w:val="20"/>
        </w:rPr>
        <w:t xml:space="preserve">29). </w:t>
      </w:r>
    </w:p>
    <w:p w:rsidR="00CD42DE" w:rsidRPr="00F357F5" w:rsidRDefault="00CD42DE" w:rsidP="00F357F5">
      <w:pPr>
        <w:pStyle w:val="Default"/>
        <w:spacing w:line="276" w:lineRule="auto"/>
        <w:jc w:val="both"/>
        <w:rPr>
          <w:color w:val="auto"/>
          <w:sz w:val="20"/>
          <w:szCs w:val="20"/>
        </w:rPr>
      </w:pPr>
    </w:p>
    <w:p w:rsidR="00A174AC" w:rsidRPr="00F357F5" w:rsidRDefault="00A174AC" w:rsidP="00F357F5">
      <w:pPr>
        <w:pStyle w:val="Default"/>
        <w:spacing w:line="276" w:lineRule="auto"/>
        <w:jc w:val="both"/>
        <w:rPr>
          <w:color w:val="auto"/>
          <w:sz w:val="20"/>
          <w:szCs w:val="20"/>
        </w:rPr>
      </w:pPr>
      <w:r w:rsidRPr="00F357F5">
        <w:rPr>
          <w:color w:val="auto"/>
          <w:sz w:val="20"/>
          <w:szCs w:val="20"/>
        </w:rPr>
        <w:t xml:space="preserve">The stated principles were then applied and it was held that the application was simply for the colour purple and that even if the endorsement was </w:t>
      </w:r>
      <w:proofErr w:type="gramStart"/>
      <w:r w:rsidRPr="00F357F5">
        <w:rPr>
          <w:color w:val="auto"/>
          <w:sz w:val="20"/>
          <w:szCs w:val="20"/>
        </w:rPr>
        <w:t>allowed,</w:t>
      </w:r>
      <w:proofErr w:type="gramEnd"/>
      <w:r w:rsidRPr="00F357F5">
        <w:rPr>
          <w:color w:val="auto"/>
          <w:sz w:val="20"/>
          <w:szCs w:val="20"/>
        </w:rPr>
        <w:t xml:space="preserve"> it would not have enabled the application to be registered. As the mark was too vague, without reference to the packaging of the products, it was concluded that it does not qualify as a “mark” as defined in the Act. Reference should also be made to the later decision of the ECJ in </w:t>
      </w:r>
      <w:r w:rsidR="006E1387" w:rsidRPr="00F357F5">
        <w:rPr>
          <w:i/>
          <w:color w:val="auto"/>
          <w:sz w:val="20"/>
          <w:szCs w:val="20"/>
        </w:rPr>
        <w:t xml:space="preserve">Heidelberger </w:t>
      </w:r>
      <w:proofErr w:type="spellStart"/>
      <w:r w:rsidR="006E1387" w:rsidRPr="00F357F5">
        <w:rPr>
          <w:i/>
          <w:color w:val="auto"/>
          <w:sz w:val="20"/>
          <w:szCs w:val="20"/>
        </w:rPr>
        <w:t>Bauchemie</w:t>
      </w:r>
      <w:proofErr w:type="spellEnd"/>
      <w:r w:rsidR="006E1387" w:rsidRPr="00F357F5">
        <w:rPr>
          <w:i/>
          <w:color w:val="auto"/>
          <w:sz w:val="20"/>
          <w:szCs w:val="20"/>
        </w:rPr>
        <w:t xml:space="preserve"> GmbH</w:t>
      </w:r>
      <w:r w:rsidRPr="00F357F5">
        <w:rPr>
          <w:color w:val="auto"/>
          <w:sz w:val="20"/>
          <w:szCs w:val="20"/>
        </w:rPr>
        <w:t xml:space="preserve"> 2004 ECR I-6129. Here</w:t>
      </w:r>
      <w:r w:rsidR="00B72B0F" w:rsidRPr="00F357F5">
        <w:rPr>
          <w:color w:val="auto"/>
          <w:sz w:val="20"/>
          <w:szCs w:val="20"/>
        </w:rPr>
        <w:t>,</w:t>
      </w:r>
      <w:r w:rsidRPr="00F357F5">
        <w:rPr>
          <w:color w:val="auto"/>
          <w:sz w:val="20"/>
          <w:szCs w:val="20"/>
        </w:rPr>
        <w:t xml:space="preserve"> the </w:t>
      </w:r>
      <w:r w:rsidR="00B72B0F" w:rsidRPr="00F357F5">
        <w:rPr>
          <w:color w:val="auto"/>
          <w:sz w:val="20"/>
          <w:szCs w:val="20"/>
        </w:rPr>
        <w:t xml:space="preserve">Court </w:t>
      </w:r>
      <w:r w:rsidRPr="00F357F5">
        <w:rPr>
          <w:color w:val="auto"/>
          <w:sz w:val="20"/>
          <w:szCs w:val="20"/>
        </w:rPr>
        <w:t xml:space="preserve">stated that the application for registration must include a systematic arrangement associating the colours concerned in a </w:t>
      </w:r>
      <w:r w:rsidR="00241726" w:rsidRPr="00F357F5">
        <w:rPr>
          <w:color w:val="auto"/>
          <w:sz w:val="20"/>
          <w:szCs w:val="20"/>
        </w:rPr>
        <w:t>predetermined and uniform way (par</w:t>
      </w:r>
      <w:r w:rsidRPr="00F357F5">
        <w:rPr>
          <w:color w:val="auto"/>
          <w:sz w:val="20"/>
          <w:szCs w:val="20"/>
        </w:rPr>
        <w:t xml:space="preserve"> 42). In summary, the position in South Africa appears to be that </w:t>
      </w:r>
      <w:r w:rsidR="00CA6DB8" w:rsidRPr="00F357F5">
        <w:rPr>
          <w:color w:val="auto"/>
          <w:sz w:val="20"/>
          <w:szCs w:val="20"/>
        </w:rPr>
        <w:t xml:space="preserve">when </w:t>
      </w:r>
      <w:r w:rsidRPr="00F357F5">
        <w:rPr>
          <w:color w:val="auto"/>
          <w:sz w:val="20"/>
          <w:szCs w:val="20"/>
        </w:rPr>
        <w:t xml:space="preserve">a colour mark is applied for, an “extra” graphic representation is required. With regard to the merits of an application for a colour, the courts are cautious not to allow the depletion of the available colours of the spectrum and an exclusive right will not easily be granted. Insofar as a single colour, specifically, is concerned, prior use that would bring about distinctiveness would usually be required. In the </w:t>
      </w:r>
      <w:proofErr w:type="spellStart"/>
      <w:r w:rsidRPr="00F357F5">
        <w:rPr>
          <w:i/>
          <w:color w:val="auto"/>
          <w:sz w:val="20"/>
          <w:szCs w:val="20"/>
        </w:rPr>
        <w:t>Libertel</w:t>
      </w:r>
      <w:proofErr w:type="spellEnd"/>
      <w:r w:rsidRPr="00F357F5">
        <w:rPr>
          <w:color w:val="auto"/>
          <w:sz w:val="20"/>
          <w:szCs w:val="20"/>
        </w:rPr>
        <w:t xml:space="preserve"> case</w:t>
      </w:r>
      <w:r w:rsidR="00B72B0F" w:rsidRPr="00F357F5">
        <w:rPr>
          <w:color w:val="auto"/>
          <w:sz w:val="20"/>
          <w:szCs w:val="20"/>
        </w:rPr>
        <w:t>,</w:t>
      </w:r>
      <w:r w:rsidRPr="00F357F5">
        <w:rPr>
          <w:color w:val="auto"/>
          <w:sz w:val="20"/>
          <w:szCs w:val="20"/>
        </w:rPr>
        <w:t xml:space="preserve"> the following was said in this regard (</w:t>
      </w:r>
      <w:r w:rsidR="00241726" w:rsidRPr="00F357F5">
        <w:rPr>
          <w:color w:val="auto"/>
          <w:sz w:val="20"/>
          <w:szCs w:val="20"/>
        </w:rPr>
        <w:t>par</w:t>
      </w:r>
      <w:r w:rsidR="00B72B0F" w:rsidRPr="00F357F5">
        <w:rPr>
          <w:color w:val="auto"/>
          <w:sz w:val="20"/>
          <w:szCs w:val="20"/>
        </w:rPr>
        <w:t xml:space="preserve"> </w:t>
      </w:r>
      <w:r w:rsidRPr="00F357F5">
        <w:rPr>
          <w:color w:val="auto"/>
          <w:sz w:val="20"/>
          <w:szCs w:val="20"/>
        </w:rPr>
        <w:t>66):</w:t>
      </w:r>
    </w:p>
    <w:p w:rsidR="00B72B0F" w:rsidRPr="00F357F5" w:rsidRDefault="00B72B0F" w:rsidP="00F357F5">
      <w:pPr>
        <w:pStyle w:val="Default"/>
        <w:spacing w:line="276" w:lineRule="auto"/>
        <w:jc w:val="both"/>
        <w:rPr>
          <w:color w:val="auto"/>
          <w:sz w:val="20"/>
          <w:szCs w:val="20"/>
        </w:rPr>
      </w:pPr>
    </w:p>
    <w:p w:rsidR="00CC3216" w:rsidRPr="00F357F5" w:rsidRDefault="006E1387" w:rsidP="00F357F5">
      <w:pPr>
        <w:pStyle w:val="Default"/>
        <w:spacing w:line="276" w:lineRule="auto"/>
        <w:ind w:left="567" w:right="567"/>
        <w:jc w:val="both"/>
        <w:rPr>
          <w:color w:val="auto"/>
          <w:sz w:val="20"/>
          <w:szCs w:val="20"/>
        </w:rPr>
      </w:pPr>
      <w:r w:rsidRPr="00F357F5">
        <w:rPr>
          <w:color w:val="auto"/>
          <w:sz w:val="20"/>
          <w:szCs w:val="20"/>
        </w:rPr>
        <w:t>In the case of a colour per se, distinctiveness without any prior use is inconceivable save in exceptional circumstances, and particularly where the number of goods or services for which the mark is claimed is very restricted and the relevant market very specific.</w:t>
      </w:r>
    </w:p>
    <w:p w:rsidR="00CD42DE" w:rsidRPr="00F357F5" w:rsidRDefault="00B72B0F" w:rsidP="00F357F5">
      <w:pPr>
        <w:pStyle w:val="Default"/>
        <w:spacing w:line="276" w:lineRule="auto"/>
        <w:jc w:val="both"/>
        <w:rPr>
          <w:color w:val="auto"/>
          <w:sz w:val="20"/>
          <w:szCs w:val="20"/>
        </w:rPr>
      </w:pPr>
      <w:r w:rsidRPr="00F357F5" w:rsidDel="00B72B0F">
        <w:rPr>
          <w:color w:val="auto"/>
          <w:sz w:val="20"/>
          <w:szCs w:val="20"/>
        </w:rPr>
        <w:t xml:space="preserve"> </w:t>
      </w:r>
    </w:p>
    <w:p w:rsidR="00CD42DE" w:rsidRPr="00F357F5" w:rsidRDefault="00CD42DE" w:rsidP="00F357F5">
      <w:pPr>
        <w:pStyle w:val="Default"/>
        <w:spacing w:line="276" w:lineRule="auto"/>
        <w:jc w:val="both"/>
        <w:rPr>
          <w:color w:val="auto"/>
          <w:sz w:val="20"/>
          <w:szCs w:val="20"/>
        </w:rPr>
      </w:pPr>
      <w:r w:rsidRPr="00F357F5">
        <w:rPr>
          <w:color w:val="auto"/>
          <w:sz w:val="20"/>
          <w:szCs w:val="20"/>
        </w:rPr>
        <w:t>Use does</w:t>
      </w:r>
      <w:r w:rsidR="00B72B0F" w:rsidRPr="00F357F5">
        <w:rPr>
          <w:color w:val="auto"/>
          <w:sz w:val="20"/>
          <w:szCs w:val="20"/>
        </w:rPr>
        <w:t>,</w:t>
      </w:r>
      <w:r w:rsidRPr="00F357F5">
        <w:rPr>
          <w:color w:val="auto"/>
          <w:sz w:val="20"/>
          <w:szCs w:val="20"/>
        </w:rPr>
        <w:t xml:space="preserve"> however</w:t>
      </w:r>
      <w:r w:rsidR="00B72B0F" w:rsidRPr="00F357F5">
        <w:rPr>
          <w:color w:val="auto"/>
          <w:sz w:val="20"/>
          <w:szCs w:val="20"/>
        </w:rPr>
        <w:t>,</w:t>
      </w:r>
      <w:r w:rsidRPr="00F357F5">
        <w:rPr>
          <w:color w:val="auto"/>
          <w:sz w:val="20"/>
          <w:szCs w:val="20"/>
        </w:rPr>
        <w:t xml:space="preserve"> not equal distinctiveness. In </w:t>
      </w:r>
      <w:proofErr w:type="spellStart"/>
      <w:r w:rsidR="006E1387" w:rsidRPr="00F357F5">
        <w:rPr>
          <w:i/>
          <w:color w:val="auto"/>
          <w:sz w:val="20"/>
          <w:szCs w:val="20"/>
        </w:rPr>
        <w:t>Bergkelder</w:t>
      </w:r>
      <w:proofErr w:type="spellEnd"/>
      <w:r w:rsidR="006E1387" w:rsidRPr="00F357F5">
        <w:rPr>
          <w:i/>
          <w:color w:val="auto"/>
          <w:sz w:val="20"/>
          <w:szCs w:val="20"/>
        </w:rPr>
        <w:t xml:space="preserve"> </w:t>
      </w:r>
      <w:proofErr w:type="spellStart"/>
      <w:r w:rsidR="006E1387" w:rsidRPr="00F357F5">
        <w:rPr>
          <w:i/>
          <w:color w:val="auto"/>
          <w:sz w:val="20"/>
          <w:szCs w:val="20"/>
        </w:rPr>
        <w:t>Beperk</w:t>
      </w:r>
      <w:proofErr w:type="spellEnd"/>
      <w:r w:rsidR="006E1387" w:rsidRPr="00F357F5">
        <w:rPr>
          <w:i/>
          <w:color w:val="auto"/>
          <w:sz w:val="20"/>
          <w:szCs w:val="20"/>
        </w:rPr>
        <w:t xml:space="preserve"> v </w:t>
      </w:r>
      <w:proofErr w:type="spellStart"/>
      <w:r w:rsidR="006E1387" w:rsidRPr="00F357F5">
        <w:rPr>
          <w:i/>
          <w:color w:val="auto"/>
          <w:sz w:val="20"/>
          <w:szCs w:val="20"/>
        </w:rPr>
        <w:t>Vredendal</w:t>
      </w:r>
      <w:proofErr w:type="spellEnd"/>
      <w:r w:rsidR="006E1387" w:rsidRPr="00F357F5">
        <w:rPr>
          <w:i/>
          <w:color w:val="auto"/>
          <w:sz w:val="20"/>
          <w:szCs w:val="20"/>
        </w:rPr>
        <w:t xml:space="preserve"> Koop </w:t>
      </w:r>
      <w:proofErr w:type="spellStart"/>
      <w:r w:rsidR="006E1387" w:rsidRPr="00F357F5">
        <w:rPr>
          <w:i/>
          <w:color w:val="auto"/>
          <w:sz w:val="20"/>
          <w:szCs w:val="20"/>
        </w:rPr>
        <w:t>Wynmakery</w:t>
      </w:r>
      <w:proofErr w:type="spellEnd"/>
      <w:r w:rsidR="00241726" w:rsidRPr="00F357F5">
        <w:rPr>
          <w:color w:val="auto"/>
          <w:sz w:val="20"/>
          <w:szCs w:val="20"/>
        </w:rPr>
        <w:t xml:space="preserve"> 2006</w:t>
      </w:r>
      <w:r w:rsidRPr="00F357F5">
        <w:rPr>
          <w:color w:val="auto"/>
          <w:sz w:val="20"/>
          <w:szCs w:val="20"/>
        </w:rPr>
        <w:t xml:space="preserve"> JOL 16901 (SCA)</w:t>
      </w:r>
      <w:r w:rsidR="00B72B0F" w:rsidRPr="00F357F5">
        <w:rPr>
          <w:color w:val="auto"/>
          <w:sz w:val="20"/>
          <w:szCs w:val="20"/>
        </w:rPr>
        <w:t>,</w:t>
      </w:r>
      <w:r w:rsidRPr="00F357F5">
        <w:rPr>
          <w:color w:val="auto"/>
          <w:sz w:val="20"/>
          <w:szCs w:val="20"/>
        </w:rPr>
        <w:t xml:space="preserve"> it was said, in </w:t>
      </w:r>
      <w:r w:rsidR="00241726" w:rsidRPr="00F357F5">
        <w:rPr>
          <w:color w:val="auto"/>
          <w:sz w:val="20"/>
          <w:szCs w:val="20"/>
        </w:rPr>
        <w:t>p</w:t>
      </w:r>
      <w:r w:rsidR="00B72B0F" w:rsidRPr="00F357F5">
        <w:rPr>
          <w:color w:val="auto"/>
          <w:sz w:val="20"/>
          <w:szCs w:val="20"/>
        </w:rPr>
        <w:t xml:space="preserve">aragraph </w:t>
      </w:r>
      <w:r w:rsidRPr="00F357F5">
        <w:rPr>
          <w:color w:val="auto"/>
          <w:sz w:val="20"/>
          <w:szCs w:val="20"/>
        </w:rPr>
        <w:t xml:space="preserve">18, that: </w:t>
      </w:r>
    </w:p>
    <w:p w:rsidR="00B72B0F" w:rsidRPr="00F357F5" w:rsidRDefault="00B72B0F" w:rsidP="00F357F5">
      <w:pPr>
        <w:pStyle w:val="Default"/>
        <w:spacing w:line="276" w:lineRule="auto"/>
        <w:jc w:val="both"/>
        <w:rPr>
          <w:color w:val="auto"/>
          <w:sz w:val="20"/>
          <w:szCs w:val="20"/>
        </w:rPr>
      </w:pPr>
    </w:p>
    <w:p w:rsidR="00CC3216" w:rsidRPr="00F357F5" w:rsidRDefault="006E1387" w:rsidP="00F357F5">
      <w:pPr>
        <w:pStyle w:val="Default"/>
        <w:spacing w:line="276" w:lineRule="auto"/>
        <w:ind w:left="567" w:right="567"/>
        <w:jc w:val="both"/>
        <w:rPr>
          <w:color w:val="auto"/>
          <w:sz w:val="20"/>
          <w:szCs w:val="20"/>
        </w:rPr>
      </w:pPr>
      <w:r w:rsidRPr="00F357F5">
        <w:rPr>
          <w:color w:val="auto"/>
          <w:sz w:val="20"/>
          <w:szCs w:val="20"/>
        </w:rPr>
        <w:t xml:space="preserve">This court has rejected a similar argument because it is based on the unspoken and illogical assumption that </w:t>
      </w:r>
      <w:r w:rsidR="00B72B0F" w:rsidRPr="00F357F5">
        <w:rPr>
          <w:color w:val="auto"/>
          <w:sz w:val="20"/>
          <w:szCs w:val="20"/>
        </w:rPr>
        <w:t>“</w:t>
      </w:r>
      <w:r w:rsidRPr="00F357F5">
        <w:rPr>
          <w:color w:val="auto"/>
          <w:sz w:val="20"/>
          <w:szCs w:val="20"/>
        </w:rPr>
        <w:t>use equals distinctiveness” and loses sight of the fact that to be really distinctive of a person</w:t>
      </w:r>
      <w:r w:rsidR="00B72B0F" w:rsidRPr="00F357F5">
        <w:rPr>
          <w:color w:val="auto"/>
          <w:sz w:val="20"/>
          <w:szCs w:val="20"/>
        </w:rPr>
        <w:t>’</w:t>
      </w:r>
      <w:r w:rsidRPr="00F357F5">
        <w:rPr>
          <w:color w:val="auto"/>
          <w:sz w:val="20"/>
          <w:szCs w:val="20"/>
        </w:rPr>
        <w:t>s goods [a trade mark] must generally speaking be incapable of application to the goods of anyone else.</w:t>
      </w:r>
    </w:p>
    <w:p w:rsidR="00CC3216" w:rsidRPr="00F357F5" w:rsidRDefault="00CC3216" w:rsidP="00F357F5">
      <w:pPr>
        <w:pStyle w:val="Default"/>
        <w:spacing w:line="276" w:lineRule="auto"/>
        <w:ind w:left="567" w:right="567"/>
        <w:jc w:val="both"/>
        <w:rPr>
          <w:color w:val="auto"/>
          <w:sz w:val="20"/>
          <w:szCs w:val="20"/>
        </w:rPr>
      </w:pPr>
    </w:p>
    <w:p w:rsidR="00CD42DE" w:rsidRPr="00F357F5" w:rsidRDefault="00CD42DE" w:rsidP="00F357F5">
      <w:pPr>
        <w:pStyle w:val="Default"/>
        <w:spacing w:line="276" w:lineRule="auto"/>
        <w:jc w:val="both"/>
        <w:rPr>
          <w:color w:val="auto"/>
          <w:sz w:val="20"/>
          <w:szCs w:val="20"/>
        </w:rPr>
      </w:pPr>
      <w:r w:rsidRPr="00F357F5">
        <w:rPr>
          <w:color w:val="auto"/>
          <w:sz w:val="20"/>
          <w:szCs w:val="20"/>
        </w:rPr>
        <w:t>Succes</w:t>
      </w:r>
      <w:r w:rsidR="00B72B0F" w:rsidRPr="00F357F5">
        <w:rPr>
          <w:color w:val="auto"/>
          <w:sz w:val="20"/>
          <w:szCs w:val="20"/>
        </w:rPr>
        <w:t>s</w:t>
      </w:r>
      <w:r w:rsidRPr="00F357F5">
        <w:rPr>
          <w:color w:val="auto"/>
          <w:sz w:val="20"/>
          <w:szCs w:val="20"/>
        </w:rPr>
        <w:t xml:space="preserve">ful applications for colour marks include the colour turquoise for banking services – for Barclays Bank – in the United Kingdom and bananas with red tips (see the Australian decision in </w:t>
      </w:r>
      <w:proofErr w:type="spellStart"/>
      <w:r w:rsidRPr="00F357F5">
        <w:rPr>
          <w:i/>
          <w:color w:val="auto"/>
          <w:sz w:val="20"/>
          <w:szCs w:val="20"/>
        </w:rPr>
        <w:t>Fada</w:t>
      </w:r>
      <w:proofErr w:type="spellEnd"/>
      <w:r w:rsidRPr="00F357F5">
        <w:rPr>
          <w:i/>
          <w:color w:val="auto"/>
          <w:sz w:val="20"/>
          <w:szCs w:val="20"/>
        </w:rPr>
        <w:t xml:space="preserve"> Pty </w:t>
      </w:r>
      <w:proofErr w:type="spellStart"/>
      <w:r w:rsidRPr="00F357F5">
        <w:rPr>
          <w:i/>
          <w:color w:val="auto"/>
          <w:sz w:val="20"/>
          <w:szCs w:val="20"/>
        </w:rPr>
        <w:t>Ltd</w:t>
      </w:r>
      <w:r w:rsidR="00B72B0F" w:rsidRPr="00F357F5">
        <w:rPr>
          <w:i/>
          <w:color w:val="auto"/>
          <w:sz w:val="20"/>
          <w:szCs w:val="20"/>
        </w:rPr>
        <w:t>’s</w:t>
      </w:r>
      <w:proofErr w:type="spellEnd"/>
      <w:r w:rsidRPr="00F357F5">
        <w:rPr>
          <w:i/>
          <w:color w:val="auto"/>
          <w:sz w:val="20"/>
          <w:szCs w:val="20"/>
        </w:rPr>
        <w:t xml:space="preserve"> (t/a Pacific Coast Eco-Bananas)</w:t>
      </w:r>
      <w:r w:rsidRPr="00F357F5">
        <w:rPr>
          <w:color w:val="auto"/>
          <w:sz w:val="20"/>
          <w:szCs w:val="20"/>
        </w:rPr>
        <w:t xml:space="preserve"> </w:t>
      </w:r>
      <w:r w:rsidR="00B72B0F" w:rsidRPr="00F357F5">
        <w:rPr>
          <w:color w:val="auto"/>
          <w:sz w:val="20"/>
          <w:szCs w:val="20"/>
        </w:rPr>
        <w:t xml:space="preserve">application </w:t>
      </w:r>
      <w:r w:rsidRPr="00F357F5">
        <w:rPr>
          <w:color w:val="auto"/>
          <w:sz w:val="20"/>
          <w:szCs w:val="20"/>
        </w:rPr>
        <w:t>WTLR</w:t>
      </w:r>
      <w:r w:rsidR="00B72B0F" w:rsidRPr="00F357F5">
        <w:rPr>
          <w:color w:val="auto"/>
          <w:sz w:val="20"/>
          <w:szCs w:val="20"/>
        </w:rPr>
        <w:t>,</w:t>
      </w:r>
      <w:r w:rsidRPr="00F357F5">
        <w:rPr>
          <w:color w:val="auto"/>
          <w:sz w:val="20"/>
          <w:szCs w:val="20"/>
        </w:rPr>
        <w:t xml:space="preserve"> 19 May 2003). In other countries, in contrast with South Africa, the registration of unconventional </w:t>
      </w:r>
      <w:proofErr w:type="spellStart"/>
      <w:r w:rsidR="00241726" w:rsidRPr="00F357F5">
        <w:rPr>
          <w:color w:val="auto"/>
          <w:sz w:val="20"/>
          <w:szCs w:val="20"/>
        </w:rPr>
        <w:t>trade marks</w:t>
      </w:r>
      <w:proofErr w:type="spellEnd"/>
      <w:r w:rsidRPr="00F357F5">
        <w:rPr>
          <w:color w:val="auto"/>
          <w:sz w:val="20"/>
          <w:szCs w:val="20"/>
        </w:rPr>
        <w:t xml:space="preserve">, relating to other senses, </w:t>
      </w:r>
      <w:r w:rsidR="00B72B0F" w:rsidRPr="00F357F5">
        <w:rPr>
          <w:color w:val="auto"/>
          <w:sz w:val="20"/>
          <w:szCs w:val="20"/>
        </w:rPr>
        <w:t xml:space="preserve">has </w:t>
      </w:r>
      <w:r w:rsidRPr="00F357F5">
        <w:rPr>
          <w:color w:val="auto"/>
          <w:sz w:val="20"/>
          <w:szCs w:val="20"/>
        </w:rPr>
        <w:t xml:space="preserve">been attempted. Registration for tastes, such as strawberry, used in relation to pharmaceutical products, has been refused, among other reasons, as the mark was not distinctive. Registration for “smell” marks </w:t>
      </w:r>
      <w:r w:rsidR="00B72B0F" w:rsidRPr="00F357F5">
        <w:rPr>
          <w:color w:val="auto"/>
          <w:sz w:val="20"/>
          <w:szCs w:val="20"/>
        </w:rPr>
        <w:t xml:space="preserve">has </w:t>
      </w:r>
      <w:r w:rsidRPr="00F357F5">
        <w:rPr>
          <w:color w:val="auto"/>
          <w:sz w:val="20"/>
          <w:szCs w:val="20"/>
        </w:rPr>
        <w:t>been granted though. Examples include the smell of freshly</w:t>
      </w:r>
      <w:r w:rsidR="00B72B0F" w:rsidRPr="00F357F5">
        <w:rPr>
          <w:color w:val="auto"/>
          <w:sz w:val="20"/>
          <w:szCs w:val="20"/>
        </w:rPr>
        <w:t xml:space="preserve"> </w:t>
      </w:r>
      <w:r w:rsidRPr="00F357F5">
        <w:rPr>
          <w:color w:val="auto"/>
          <w:sz w:val="20"/>
          <w:szCs w:val="20"/>
        </w:rPr>
        <w:t xml:space="preserve">cut grass in relation to tennis balls and the smell of roses registered in relation to tyres! Reference can be made here to the important decision of </w:t>
      </w:r>
      <w:proofErr w:type="spellStart"/>
      <w:r w:rsidR="006E1387" w:rsidRPr="00F357F5">
        <w:rPr>
          <w:i/>
          <w:color w:val="auto"/>
          <w:sz w:val="20"/>
          <w:szCs w:val="20"/>
        </w:rPr>
        <w:t>Sieckmann</w:t>
      </w:r>
      <w:proofErr w:type="spellEnd"/>
      <w:r w:rsidR="006E1387" w:rsidRPr="00F357F5">
        <w:rPr>
          <w:i/>
          <w:color w:val="auto"/>
          <w:sz w:val="20"/>
          <w:szCs w:val="20"/>
        </w:rPr>
        <w:t xml:space="preserve"> </w:t>
      </w:r>
      <w:r w:rsidR="00241726" w:rsidRPr="00F357F5">
        <w:rPr>
          <w:color w:val="auto"/>
          <w:sz w:val="20"/>
          <w:szCs w:val="20"/>
        </w:rPr>
        <w:t>2003</w:t>
      </w:r>
      <w:r w:rsidRPr="00F357F5">
        <w:rPr>
          <w:color w:val="auto"/>
          <w:sz w:val="20"/>
          <w:szCs w:val="20"/>
        </w:rPr>
        <w:t xml:space="preserve"> RPC 685. Here</w:t>
      </w:r>
      <w:r w:rsidR="00B72B0F" w:rsidRPr="00F357F5">
        <w:rPr>
          <w:color w:val="auto"/>
          <w:sz w:val="20"/>
          <w:szCs w:val="20"/>
        </w:rPr>
        <w:t>,</w:t>
      </w:r>
      <w:r w:rsidRPr="00F357F5">
        <w:rPr>
          <w:color w:val="auto"/>
          <w:sz w:val="20"/>
          <w:szCs w:val="20"/>
        </w:rPr>
        <w:t xml:space="preserve"> application was made for a smell, including, among others</w:t>
      </w:r>
      <w:r w:rsidR="004942BD" w:rsidRPr="00F357F5">
        <w:rPr>
          <w:color w:val="auto"/>
          <w:sz w:val="20"/>
          <w:szCs w:val="20"/>
        </w:rPr>
        <w:t>,</w:t>
      </w:r>
      <w:r w:rsidRPr="00F357F5">
        <w:rPr>
          <w:color w:val="auto"/>
          <w:sz w:val="20"/>
          <w:szCs w:val="20"/>
        </w:rPr>
        <w:t xml:space="preserve"> </w:t>
      </w:r>
      <w:r w:rsidR="00B72B0F" w:rsidRPr="00F357F5">
        <w:rPr>
          <w:color w:val="auto"/>
          <w:sz w:val="20"/>
          <w:szCs w:val="20"/>
        </w:rPr>
        <w:t>“</w:t>
      </w:r>
      <w:r w:rsidRPr="00F357F5">
        <w:rPr>
          <w:color w:val="auto"/>
          <w:sz w:val="20"/>
          <w:szCs w:val="20"/>
        </w:rPr>
        <w:t xml:space="preserve">a slight hint of cinnamon”, along with a chemical formula of the smell and a sample of the smell. The decision of the </w:t>
      </w:r>
      <w:r w:rsidR="00241726" w:rsidRPr="00F357F5">
        <w:rPr>
          <w:color w:val="auto"/>
          <w:sz w:val="20"/>
          <w:szCs w:val="20"/>
        </w:rPr>
        <w:t xml:space="preserve">Court of Justice of the </w:t>
      </w:r>
      <w:r w:rsidRPr="00F357F5">
        <w:rPr>
          <w:color w:val="auto"/>
          <w:sz w:val="20"/>
          <w:szCs w:val="20"/>
        </w:rPr>
        <w:t>E</w:t>
      </w:r>
      <w:r w:rsidR="00241726" w:rsidRPr="00F357F5">
        <w:rPr>
          <w:color w:val="auto"/>
          <w:sz w:val="20"/>
          <w:szCs w:val="20"/>
        </w:rPr>
        <w:t>uropean Union</w:t>
      </w:r>
      <w:r w:rsidRPr="00F357F5">
        <w:rPr>
          <w:color w:val="auto"/>
          <w:sz w:val="20"/>
          <w:szCs w:val="20"/>
        </w:rPr>
        <w:t xml:space="preserve">, which actually formed the basis of the above cases dealing with colours, was to the effect that, </w:t>
      </w:r>
      <w:r w:rsidR="006E1387" w:rsidRPr="00F357F5">
        <w:rPr>
          <w:i/>
          <w:color w:val="auto"/>
          <w:sz w:val="20"/>
          <w:szCs w:val="20"/>
        </w:rPr>
        <w:t>inter alia</w:t>
      </w:r>
      <w:r w:rsidRPr="00F357F5">
        <w:rPr>
          <w:color w:val="auto"/>
          <w:sz w:val="20"/>
          <w:szCs w:val="20"/>
        </w:rPr>
        <w:t>, few people would recognise the formula (</w:t>
      </w:r>
      <w:r w:rsidR="00241726" w:rsidRPr="00F357F5">
        <w:rPr>
          <w:color w:val="auto"/>
          <w:sz w:val="20"/>
          <w:szCs w:val="20"/>
        </w:rPr>
        <w:t>par</w:t>
      </w:r>
      <w:r w:rsidR="00B72B0F" w:rsidRPr="00F357F5">
        <w:rPr>
          <w:color w:val="auto"/>
          <w:sz w:val="20"/>
          <w:szCs w:val="20"/>
        </w:rPr>
        <w:t xml:space="preserve"> </w:t>
      </w:r>
      <w:r w:rsidRPr="00F357F5">
        <w:rPr>
          <w:color w:val="auto"/>
          <w:sz w:val="20"/>
          <w:szCs w:val="20"/>
        </w:rPr>
        <w:t xml:space="preserve">69). Although the word description of the smell was graphic, it </w:t>
      </w:r>
      <w:r w:rsidR="00B72B0F" w:rsidRPr="00F357F5">
        <w:rPr>
          <w:color w:val="auto"/>
          <w:sz w:val="20"/>
          <w:szCs w:val="20"/>
        </w:rPr>
        <w:t xml:space="preserve">was </w:t>
      </w:r>
      <w:r w:rsidRPr="00F357F5">
        <w:rPr>
          <w:color w:val="auto"/>
          <w:sz w:val="20"/>
          <w:szCs w:val="20"/>
        </w:rPr>
        <w:t>not sufficiently clear and objective (</w:t>
      </w:r>
      <w:r w:rsidR="00241726" w:rsidRPr="00F357F5">
        <w:rPr>
          <w:color w:val="auto"/>
          <w:sz w:val="20"/>
          <w:szCs w:val="20"/>
        </w:rPr>
        <w:t>par</w:t>
      </w:r>
      <w:r w:rsidR="00B72B0F" w:rsidRPr="00F357F5">
        <w:rPr>
          <w:color w:val="auto"/>
          <w:sz w:val="20"/>
          <w:szCs w:val="20"/>
        </w:rPr>
        <w:t xml:space="preserve"> </w:t>
      </w:r>
      <w:r w:rsidRPr="00F357F5">
        <w:rPr>
          <w:color w:val="auto"/>
          <w:sz w:val="20"/>
          <w:szCs w:val="20"/>
        </w:rPr>
        <w:t>70). With regard to sound marks, an application for the yell of Tarzan has been refused, as it was not clear what the application relate</w:t>
      </w:r>
      <w:r w:rsidR="007A2F78" w:rsidRPr="00F357F5">
        <w:rPr>
          <w:color w:val="auto"/>
          <w:sz w:val="20"/>
          <w:szCs w:val="20"/>
        </w:rPr>
        <w:t>d</w:t>
      </w:r>
      <w:r w:rsidRPr="00F357F5">
        <w:rPr>
          <w:color w:val="auto"/>
          <w:sz w:val="20"/>
          <w:szCs w:val="20"/>
        </w:rPr>
        <w:t xml:space="preserve"> to. Incidentally, it is a common misconception that the distinctive sound of the </w:t>
      </w:r>
      <w:r w:rsidR="007A2F78" w:rsidRPr="00F357F5">
        <w:rPr>
          <w:color w:val="auto"/>
          <w:sz w:val="20"/>
          <w:szCs w:val="20"/>
        </w:rPr>
        <w:t xml:space="preserve">Harley-Davidson </w:t>
      </w:r>
      <w:r w:rsidRPr="00F357F5">
        <w:rPr>
          <w:color w:val="auto"/>
          <w:sz w:val="20"/>
          <w:szCs w:val="20"/>
        </w:rPr>
        <w:t>motorcycles is registered. An application for the registration of the mark in the United States was</w:t>
      </w:r>
      <w:r w:rsidR="007A2F78" w:rsidRPr="00F357F5">
        <w:rPr>
          <w:color w:val="auto"/>
          <w:sz w:val="20"/>
          <w:szCs w:val="20"/>
        </w:rPr>
        <w:t>,</w:t>
      </w:r>
      <w:r w:rsidRPr="00F357F5">
        <w:rPr>
          <w:color w:val="auto"/>
          <w:sz w:val="20"/>
          <w:szCs w:val="20"/>
        </w:rPr>
        <w:t xml:space="preserve"> in fact</w:t>
      </w:r>
      <w:r w:rsidR="007A2F78" w:rsidRPr="00F357F5">
        <w:rPr>
          <w:color w:val="auto"/>
          <w:sz w:val="20"/>
          <w:szCs w:val="20"/>
        </w:rPr>
        <w:t>,</w:t>
      </w:r>
      <w:r w:rsidRPr="00F357F5">
        <w:rPr>
          <w:color w:val="auto"/>
          <w:sz w:val="20"/>
          <w:szCs w:val="20"/>
        </w:rPr>
        <w:t xml:space="preserve"> withdrawn, following opposition proceedings by a number of parties, including the major Japanese motorcycle manufacturers. </w:t>
      </w:r>
    </w:p>
    <w:p w:rsidR="007A2F78" w:rsidRPr="00F357F5" w:rsidRDefault="007A2F78" w:rsidP="00F357F5">
      <w:pPr>
        <w:pStyle w:val="Default"/>
        <w:spacing w:line="276" w:lineRule="auto"/>
        <w:jc w:val="both"/>
        <w:rPr>
          <w:color w:val="auto"/>
          <w:sz w:val="20"/>
          <w:szCs w:val="20"/>
        </w:rPr>
      </w:pPr>
    </w:p>
    <w:p w:rsidR="00CD42DE" w:rsidRDefault="00CD42DE" w:rsidP="00F357F5">
      <w:pPr>
        <w:pStyle w:val="Default"/>
        <w:spacing w:line="276" w:lineRule="auto"/>
        <w:jc w:val="both"/>
        <w:rPr>
          <w:color w:val="auto"/>
          <w:sz w:val="20"/>
          <w:szCs w:val="20"/>
        </w:rPr>
      </w:pPr>
      <w:r w:rsidRPr="00F357F5">
        <w:rPr>
          <w:color w:val="auto"/>
          <w:sz w:val="20"/>
          <w:szCs w:val="20"/>
        </w:rPr>
        <w:t xml:space="preserve">If matter is a “mark”, the second question is whether it is </w:t>
      </w:r>
      <w:r w:rsidR="007A2F78" w:rsidRPr="00F357F5">
        <w:rPr>
          <w:color w:val="auto"/>
          <w:sz w:val="20"/>
          <w:szCs w:val="20"/>
        </w:rPr>
        <w:t>“</w:t>
      </w:r>
      <w:r w:rsidRPr="00F357F5">
        <w:rPr>
          <w:color w:val="auto"/>
          <w:sz w:val="20"/>
          <w:szCs w:val="20"/>
        </w:rPr>
        <w:t>capable of distinguishing”. In this regard</w:t>
      </w:r>
      <w:r w:rsidR="007A2F78" w:rsidRPr="00F357F5">
        <w:rPr>
          <w:color w:val="auto"/>
          <w:sz w:val="20"/>
          <w:szCs w:val="20"/>
        </w:rPr>
        <w:t>,</w:t>
      </w:r>
      <w:r w:rsidRPr="00F357F5">
        <w:rPr>
          <w:color w:val="auto"/>
          <w:sz w:val="20"/>
          <w:szCs w:val="20"/>
        </w:rPr>
        <w:t xml:space="preserve"> a mark can be capable of so doing on two bases. On the one hand, a mark may be inherently distinctive </w:t>
      </w:r>
      <w:r w:rsidRPr="00F357F5">
        <w:rPr>
          <w:color w:val="auto"/>
          <w:sz w:val="20"/>
          <w:szCs w:val="20"/>
        </w:rPr>
        <w:lastRenderedPageBreak/>
        <w:t>(</w:t>
      </w:r>
      <w:r w:rsidR="00241726" w:rsidRPr="00F357F5">
        <w:rPr>
          <w:color w:val="auto"/>
          <w:sz w:val="20"/>
          <w:szCs w:val="20"/>
        </w:rPr>
        <w:t>s</w:t>
      </w:r>
      <w:r w:rsidR="007A2F78" w:rsidRPr="00F357F5">
        <w:rPr>
          <w:color w:val="auto"/>
          <w:sz w:val="20"/>
          <w:szCs w:val="20"/>
        </w:rPr>
        <w:t xml:space="preserve">ection </w:t>
      </w:r>
      <w:r w:rsidRPr="00F357F5">
        <w:rPr>
          <w:color w:val="auto"/>
          <w:sz w:val="20"/>
          <w:szCs w:val="20"/>
        </w:rPr>
        <w:t xml:space="preserve">9(2)). Good examples are found in the music industry, with the names of groups such as </w:t>
      </w:r>
      <w:proofErr w:type="spellStart"/>
      <w:r w:rsidR="007A2F78" w:rsidRPr="00F357F5">
        <w:rPr>
          <w:color w:val="auto"/>
          <w:sz w:val="20"/>
          <w:szCs w:val="20"/>
        </w:rPr>
        <w:t>Def</w:t>
      </w:r>
      <w:proofErr w:type="spellEnd"/>
      <w:r w:rsidR="007A2F78" w:rsidRPr="00F357F5">
        <w:rPr>
          <w:color w:val="auto"/>
          <w:sz w:val="20"/>
          <w:szCs w:val="20"/>
        </w:rPr>
        <w:t xml:space="preserve"> </w:t>
      </w:r>
      <w:proofErr w:type="spellStart"/>
      <w:r w:rsidR="007A2F78" w:rsidRPr="00F357F5">
        <w:rPr>
          <w:color w:val="auto"/>
          <w:sz w:val="20"/>
          <w:szCs w:val="20"/>
        </w:rPr>
        <w:t>Leppard</w:t>
      </w:r>
      <w:proofErr w:type="spellEnd"/>
      <w:r w:rsidRPr="00F357F5">
        <w:rPr>
          <w:color w:val="auto"/>
          <w:sz w:val="20"/>
          <w:szCs w:val="20"/>
        </w:rPr>
        <w:t xml:space="preserve">, </w:t>
      </w:r>
      <w:r w:rsidR="007A2F78" w:rsidRPr="00F357F5">
        <w:rPr>
          <w:color w:val="auto"/>
          <w:sz w:val="20"/>
          <w:szCs w:val="20"/>
        </w:rPr>
        <w:t xml:space="preserve">Bowling for Soup </w:t>
      </w:r>
      <w:r w:rsidRPr="00F357F5">
        <w:rPr>
          <w:color w:val="auto"/>
          <w:sz w:val="20"/>
          <w:szCs w:val="20"/>
        </w:rPr>
        <w:t xml:space="preserve">and </w:t>
      </w:r>
      <w:r w:rsidR="007A2F78" w:rsidRPr="00F357F5">
        <w:rPr>
          <w:color w:val="auto"/>
          <w:sz w:val="20"/>
          <w:szCs w:val="20"/>
        </w:rPr>
        <w:t>Red Hot Chili Peppers</w:t>
      </w:r>
      <w:r w:rsidRPr="00F357F5">
        <w:rPr>
          <w:color w:val="auto"/>
          <w:sz w:val="20"/>
          <w:szCs w:val="20"/>
        </w:rPr>
        <w:t>. A mark can also become distinctive through use (</w:t>
      </w:r>
      <w:r w:rsidR="007A2F78" w:rsidRPr="00F357F5">
        <w:rPr>
          <w:color w:val="auto"/>
          <w:sz w:val="20"/>
          <w:szCs w:val="20"/>
        </w:rPr>
        <w:t xml:space="preserve">Section </w:t>
      </w:r>
      <w:r w:rsidRPr="00F357F5">
        <w:rPr>
          <w:color w:val="auto"/>
          <w:sz w:val="20"/>
          <w:szCs w:val="20"/>
        </w:rPr>
        <w:t xml:space="preserve">9(2)), subject, of course, to the above </w:t>
      </w:r>
      <w:proofErr w:type="spellStart"/>
      <w:r w:rsidRPr="00F357F5">
        <w:rPr>
          <w:i/>
          <w:color w:val="auto"/>
          <w:sz w:val="20"/>
          <w:szCs w:val="20"/>
        </w:rPr>
        <w:t>Bergkelder</w:t>
      </w:r>
      <w:proofErr w:type="spellEnd"/>
      <w:r w:rsidRPr="00F357F5">
        <w:rPr>
          <w:i/>
          <w:color w:val="auto"/>
          <w:sz w:val="20"/>
          <w:szCs w:val="20"/>
        </w:rPr>
        <w:t xml:space="preserve"> caveat</w:t>
      </w:r>
      <w:r w:rsidRPr="00F357F5">
        <w:rPr>
          <w:color w:val="auto"/>
          <w:sz w:val="20"/>
          <w:szCs w:val="20"/>
        </w:rPr>
        <w:t xml:space="preserve">. Examples here </w:t>
      </w:r>
      <w:r w:rsidR="004942BD" w:rsidRPr="00F357F5">
        <w:rPr>
          <w:color w:val="auto"/>
          <w:sz w:val="20"/>
          <w:szCs w:val="20"/>
        </w:rPr>
        <w:t xml:space="preserve">may </w:t>
      </w:r>
      <w:r w:rsidRPr="00F357F5">
        <w:rPr>
          <w:color w:val="auto"/>
          <w:sz w:val="20"/>
          <w:szCs w:val="20"/>
        </w:rPr>
        <w:t xml:space="preserve">be </w:t>
      </w:r>
      <w:r w:rsidR="004942BD" w:rsidRPr="00F357F5">
        <w:rPr>
          <w:color w:val="auto"/>
          <w:sz w:val="20"/>
          <w:szCs w:val="20"/>
        </w:rPr>
        <w:t xml:space="preserve">Good ’n Clean and Fresh, </w:t>
      </w:r>
      <w:proofErr w:type="spellStart"/>
      <w:r w:rsidR="007A2F78" w:rsidRPr="00F357F5">
        <w:rPr>
          <w:color w:val="auto"/>
          <w:sz w:val="20"/>
          <w:szCs w:val="20"/>
        </w:rPr>
        <w:t>Shatterprufe</w:t>
      </w:r>
      <w:proofErr w:type="spellEnd"/>
      <w:r w:rsidRPr="00F357F5">
        <w:rPr>
          <w:color w:val="auto"/>
          <w:sz w:val="20"/>
          <w:szCs w:val="20"/>
        </w:rPr>
        <w:t xml:space="preserve"> and </w:t>
      </w:r>
      <w:r w:rsidR="007A2F78" w:rsidRPr="00F357F5">
        <w:rPr>
          <w:color w:val="auto"/>
          <w:sz w:val="20"/>
          <w:szCs w:val="20"/>
        </w:rPr>
        <w:t>Pick ‘n Pay</w:t>
      </w:r>
      <w:r w:rsidRPr="00F357F5">
        <w:rPr>
          <w:color w:val="auto"/>
          <w:sz w:val="20"/>
          <w:szCs w:val="20"/>
        </w:rPr>
        <w:t>. With regard to the distinctiveness of a mark, the Registrar may require that a word that is of a descriptive or non-distinctive nature, particularly if it may be required for use by other traders, can only be registered subject to a disclaimer (</w:t>
      </w:r>
      <w:r w:rsidR="000366FD" w:rsidRPr="00F357F5">
        <w:rPr>
          <w:color w:val="auto"/>
          <w:sz w:val="20"/>
          <w:szCs w:val="20"/>
        </w:rPr>
        <w:t>s</w:t>
      </w:r>
      <w:r w:rsidR="007A2F78" w:rsidRPr="00F357F5">
        <w:rPr>
          <w:color w:val="auto"/>
          <w:sz w:val="20"/>
          <w:szCs w:val="20"/>
        </w:rPr>
        <w:t xml:space="preserve">ection </w:t>
      </w:r>
      <w:r w:rsidRPr="00F357F5">
        <w:rPr>
          <w:color w:val="auto"/>
          <w:sz w:val="20"/>
          <w:szCs w:val="20"/>
        </w:rPr>
        <w:t xml:space="preserve">15). An example </w:t>
      </w:r>
      <w:r w:rsidR="004942BD" w:rsidRPr="00F357F5">
        <w:rPr>
          <w:color w:val="auto"/>
          <w:sz w:val="20"/>
          <w:szCs w:val="20"/>
        </w:rPr>
        <w:t xml:space="preserve">may </w:t>
      </w:r>
      <w:r w:rsidRPr="00F357F5">
        <w:rPr>
          <w:color w:val="auto"/>
          <w:sz w:val="20"/>
          <w:szCs w:val="20"/>
        </w:rPr>
        <w:t xml:space="preserve">be an application for </w:t>
      </w:r>
      <w:proofErr w:type="spellStart"/>
      <w:r w:rsidR="007A2F78" w:rsidRPr="00F357F5">
        <w:rPr>
          <w:color w:val="auto"/>
          <w:sz w:val="20"/>
          <w:szCs w:val="20"/>
        </w:rPr>
        <w:t>Zaza</w:t>
      </w:r>
      <w:proofErr w:type="spellEnd"/>
      <w:r w:rsidR="007A2F78" w:rsidRPr="00F357F5">
        <w:rPr>
          <w:color w:val="auto"/>
          <w:sz w:val="20"/>
          <w:szCs w:val="20"/>
        </w:rPr>
        <w:t xml:space="preserve"> Juice</w:t>
      </w:r>
      <w:r w:rsidRPr="00F357F5">
        <w:rPr>
          <w:color w:val="auto"/>
          <w:sz w:val="20"/>
          <w:szCs w:val="20"/>
        </w:rPr>
        <w:t>, for fruit juice. The applicant will then have to disclaim exclusive rights to the word “juice”</w:t>
      </w:r>
      <w:r w:rsidR="007A2F78" w:rsidRPr="00F357F5">
        <w:rPr>
          <w:color w:val="auto"/>
          <w:sz w:val="20"/>
          <w:szCs w:val="20"/>
        </w:rPr>
        <w:t>.</w:t>
      </w:r>
      <w:r w:rsidRPr="00F357F5">
        <w:rPr>
          <w:color w:val="auto"/>
          <w:sz w:val="20"/>
          <w:szCs w:val="20"/>
        </w:rPr>
        <w:t xml:space="preserve"> The significance thereof is that the use of a (single) disclaimed feature cannot amount to infringement. </w:t>
      </w:r>
    </w:p>
    <w:p w:rsidR="00F357F5" w:rsidRDefault="00F357F5" w:rsidP="00F357F5">
      <w:pPr>
        <w:pStyle w:val="Default"/>
        <w:spacing w:line="276" w:lineRule="auto"/>
        <w:jc w:val="both"/>
        <w:rPr>
          <w:color w:val="auto"/>
          <w:sz w:val="20"/>
          <w:szCs w:val="20"/>
        </w:rPr>
      </w:pPr>
    </w:p>
    <w:p w:rsidR="00F357F5" w:rsidRDefault="00F357F5" w:rsidP="00F357F5">
      <w:pPr>
        <w:pStyle w:val="Default"/>
        <w:spacing w:line="276" w:lineRule="auto"/>
        <w:jc w:val="both"/>
        <w:rPr>
          <w:color w:val="auto"/>
          <w:sz w:val="20"/>
          <w:szCs w:val="20"/>
        </w:rPr>
      </w:pPr>
      <w:r>
        <w:rPr>
          <w:color w:val="auto"/>
          <w:sz w:val="20"/>
          <w:szCs w:val="20"/>
        </w:rPr>
        <w:t>Prof Wim Alberts</w:t>
      </w:r>
    </w:p>
    <w:p w:rsidR="00F357F5" w:rsidRDefault="00F357F5" w:rsidP="00F357F5">
      <w:pPr>
        <w:pStyle w:val="Default"/>
        <w:spacing w:line="276" w:lineRule="auto"/>
        <w:jc w:val="both"/>
        <w:rPr>
          <w:color w:val="auto"/>
          <w:sz w:val="20"/>
          <w:szCs w:val="20"/>
        </w:rPr>
      </w:pPr>
    </w:p>
    <w:p w:rsidR="00F357F5" w:rsidRPr="00F357F5" w:rsidRDefault="00F357F5" w:rsidP="00F357F5">
      <w:pPr>
        <w:pStyle w:val="Default"/>
        <w:spacing w:line="276" w:lineRule="auto"/>
        <w:jc w:val="both"/>
        <w:rPr>
          <w:color w:val="auto"/>
          <w:sz w:val="20"/>
          <w:szCs w:val="20"/>
        </w:rPr>
      </w:pPr>
      <w:r>
        <w:rPr>
          <w:color w:val="auto"/>
          <w:sz w:val="20"/>
          <w:szCs w:val="20"/>
        </w:rPr>
        <w:t>(</w:t>
      </w:r>
      <w:proofErr w:type="gramStart"/>
      <w:r>
        <w:rPr>
          <w:color w:val="auto"/>
          <w:sz w:val="20"/>
          <w:szCs w:val="20"/>
        </w:rPr>
        <w:t>adapted</w:t>
      </w:r>
      <w:proofErr w:type="gramEnd"/>
      <w:r>
        <w:rPr>
          <w:color w:val="auto"/>
          <w:sz w:val="20"/>
          <w:szCs w:val="20"/>
        </w:rPr>
        <w:t xml:space="preserve"> version of an article first published </w:t>
      </w:r>
      <w:r w:rsidRPr="006A0CDF">
        <w:rPr>
          <w:color w:val="auto"/>
          <w:sz w:val="20"/>
          <w:szCs w:val="20"/>
        </w:rPr>
        <w:t>in</w:t>
      </w:r>
      <w:r w:rsidRPr="00F357F5">
        <w:rPr>
          <w:i/>
          <w:color w:val="auto"/>
          <w:sz w:val="20"/>
          <w:szCs w:val="20"/>
        </w:rPr>
        <w:t xml:space="preserve"> De Rebus</w:t>
      </w:r>
      <w:r>
        <w:rPr>
          <w:color w:val="auto"/>
          <w:sz w:val="20"/>
          <w:szCs w:val="20"/>
        </w:rPr>
        <w:t>)</w:t>
      </w:r>
    </w:p>
    <w:p w:rsidR="007A2F78" w:rsidRPr="00F357F5" w:rsidRDefault="007A2F78" w:rsidP="00F357F5">
      <w:pPr>
        <w:pStyle w:val="Default"/>
        <w:spacing w:line="276" w:lineRule="auto"/>
        <w:jc w:val="both"/>
        <w:rPr>
          <w:color w:val="auto"/>
          <w:sz w:val="20"/>
          <w:szCs w:val="20"/>
        </w:rPr>
      </w:pPr>
    </w:p>
    <w:p w:rsidR="007A2F78" w:rsidRPr="00F357F5" w:rsidRDefault="00CD42DE" w:rsidP="00F357F5">
      <w:pPr>
        <w:pStyle w:val="Default"/>
        <w:pageBreakBefore/>
        <w:spacing w:line="276" w:lineRule="auto"/>
        <w:jc w:val="both"/>
        <w:rPr>
          <w:color w:val="auto"/>
          <w:sz w:val="20"/>
          <w:szCs w:val="20"/>
        </w:rPr>
      </w:pPr>
      <w:r w:rsidRPr="00F357F5">
        <w:rPr>
          <w:color w:val="auto"/>
          <w:sz w:val="20"/>
          <w:szCs w:val="20"/>
        </w:rPr>
        <w:lastRenderedPageBreak/>
        <w:t>The refusal of an application on the basis that it is not distinctive is a so-called absolute ground of refusal. There are also relative grounds of refusal, which relate to the rights of third parties. A mark can</w:t>
      </w:r>
      <w:r w:rsidR="007A2F78" w:rsidRPr="00F357F5">
        <w:rPr>
          <w:color w:val="auto"/>
          <w:sz w:val="20"/>
          <w:szCs w:val="20"/>
        </w:rPr>
        <w:t>,</w:t>
      </w:r>
      <w:r w:rsidRPr="00F357F5">
        <w:rPr>
          <w:color w:val="auto"/>
          <w:sz w:val="20"/>
          <w:szCs w:val="20"/>
        </w:rPr>
        <w:t xml:space="preserve"> for instance</w:t>
      </w:r>
      <w:r w:rsidR="007A2F78" w:rsidRPr="00F357F5">
        <w:rPr>
          <w:color w:val="auto"/>
          <w:sz w:val="20"/>
          <w:szCs w:val="20"/>
        </w:rPr>
        <w:t>,</w:t>
      </w:r>
      <w:r w:rsidRPr="00F357F5">
        <w:rPr>
          <w:color w:val="auto"/>
          <w:sz w:val="20"/>
          <w:szCs w:val="20"/>
        </w:rPr>
        <w:t xml:space="preserve"> be opposed by the proprietor of a well-known mark</w:t>
      </w:r>
      <w:r w:rsidR="007A2F78" w:rsidRPr="00F357F5">
        <w:rPr>
          <w:color w:val="auto"/>
          <w:sz w:val="20"/>
          <w:szCs w:val="20"/>
        </w:rPr>
        <w:t>,</w:t>
      </w:r>
      <w:r w:rsidRPr="00F357F5">
        <w:rPr>
          <w:color w:val="auto"/>
          <w:sz w:val="20"/>
          <w:szCs w:val="20"/>
        </w:rPr>
        <w:t xml:space="preserve"> as envisaged in the Paris Convention (</w:t>
      </w:r>
      <w:r w:rsidR="000366FD" w:rsidRPr="00F357F5">
        <w:rPr>
          <w:color w:val="auto"/>
          <w:sz w:val="20"/>
          <w:szCs w:val="20"/>
        </w:rPr>
        <w:t>s</w:t>
      </w:r>
      <w:r w:rsidR="007A2F78" w:rsidRPr="00F357F5">
        <w:rPr>
          <w:color w:val="auto"/>
          <w:sz w:val="20"/>
          <w:szCs w:val="20"/>
        </w:rPr>
        <w:t xml:space="preserve">ection </w:t>
      </w:r>
      <w:r w:rsidRPr="00F357F5">
        <w:rPr>
          <w:color w:val="auto"/>
          <w:sz w:val="20"/>
          <w:szCs w:val="20"/>
        </w:rPr>
        <w:t>10(6)). Here</w:t>
      </w:r>
      <w:r w:rsidR="007A2F78" w:rsidRPr="00F357F5">
        <w:rPr>
          <w:color w:val="auto"/>
          <w:sz w:val="20"/>
          <w:szCs w:val="20"/>
        </w:rPr>
        <w:t>,</w:t>
      </w:r>
      <w:r w:rsidRPr="00F357F5">
        <w:rPr>
          <w:color w:val="auto"/>
          <w:sz w:val="20"/>
          <w:szCs w:val="20"/>
        </w:rPr>
        <w:t xml:space="preserve"> the mark does not have to be registered. Another instance, </w:t>
      </w:r>
      <w:r w:rsidR="00CA6DB8" w:rsidRPr="00F357F5">
        <w:rPr>
          <w:color w:val="auto"/>
          <w:sz w:val="20"/>
          <w:szCs w:val="20"/>
        </w:rPr>
        <w:t xml:space="preserve">when </w:t>
      </w:r>
      <w:r w:rsidRPr="00F357F5">
        <w:rPr>
          <w:color w:val="auto"/>
          <w:sz w:val="20"/>
          <w:szCs w:val="20"/>
        </w:rPr>
        <w:t xml:space="preserve">a mark also does not have to be registered, is </w:t>
      </w:r>
      <w:r w:rsidR="00CA6DB8" w:rsidRPr="00F357F5">
        <w:rPr>
          <w:color w:val="auto"/>
          <w:sz w:val="20"/>
          <w:szCs w:val="20"/>
        </w:rPr>
        <w:t xml:space="preserve">described in </w:t>
      </w:r>
      <w:r w:rsidR="000366FD" w:rsidRPr="00F357F5">
        <w:rPr>
          <w:color w:val="auto"/>
          <w:sz w:val="20"/>
          <w:szCs w:val="20"/>
        </w:rPr>
        <w:t>s</w:t>
      </w:r>
      <w:r w:rsidR="007A2F78" w:rsidRPr="00F357F5">
        <w:rPr>
          <w:color w:val="auto"/>
          <w:sz w:val="20"/>
          <w:szCs w:val="20"/>
        </w:rPr>
        <w:t xml:space="preserve">ection </w:t>
      </w:r>
      <w:r w:rsidRPr="00F357F5">
        <w:rPr>
          <w:color w:val="auto"/>
          <w:sz w:val="20"/>
          <w:szCs w:val="20"/>
        </w:rPr>
        <w:t>10(12). This would typically relate to marks that have a</w:t>
      </w:r>
      <w:r w:rsidR="007A2F78" w:rsidRPr="00F357F5">
        <w:rPr>
          <w:color w:val="auto"/>
          <w:sz w:val="20"/>
          <w:szCs w:val="20"/>
        </w:rPr>
        <w:t xml:space="preserve"> reputation through use. Sections 10(15) to (16) deal with the opposition of a later application or an earlier application </w:t>
      </w:r>
      <w:r w:rsidR="00CA6DB8" w:rsidRPr="00F357F5">
        <w:rPr>
          <w:color w:val="auto"/>
          <w:sz w:val="20"/>
          <w:szCs w:val="20"/>
        </w:rPr>
        <w:t xml:space="preserve">when </w:t>
      </w:r>
      <w:r w:rsidR="007A2F78" w:rsidRPr="00F357F5">
        <w:rPr>
          <w:color w:val="auto"/>
          <w:sz w:val="20"/>
          <w:szCs w:val="20"/>
        </w:rPr>
        <w:t>the opponent has existing rights (such as a restraint of trade). A m</w:t>
      </w:r>
      <w:r w:rsidR="000366FD" w:rsidRPr="00F357F5">
        <w:rPr>
          <w:color w:val="auto"/>
          <w:sz w:val="20"/>
          <w:szCs w:val="20"/>
        </w:rPr>
        <w:t>ark can be opposed in terms of s</w:t>
      </w:r>
      <w:r w:rsidR="007A2F78" w:rsidRPr="00F357F5">
        <w:rPr>
          <w:color w:val="auto"/>
          <w:sz w:val="20"/>
          <w:szCs w:val="20"/>
        </w:rPr>
        <w:t xml:space="preserve">ection 10(14), </w:t>
      </w:r>
      <w:r w:rsidR="004942BD" w:rsidRPr="00F357F5">
        <w:rPr>
          <w:color w:val="auto"/>
          <w:sz w:val="20"/>
          <w:szCs w:val="20"/>
        </w:rPr>
        <w:t xml:space="preserve">when </w:t>
      </w:r>
      <w:r w:rsidR="007A2F78" w:rsidRPr="00F357F5">
        <w:rPr>
          <w:color w:val="auto"/>
          <w:sz w:val="20"/>
          <w:szCs w:val="20"/>
        </w:rPr>
        <w:t xml:space="preserve">it is to be used in relation to goods the same as or similar to an existing registered mark and </w:t>
      </w:r>
      <w:r w:rsidR="00CA6DB8" w:rsidRPr="00F357F5">
        <w:rPr>
          <w:color w:val="auto"/>
          <w:sz w:val="20"/>
          <w:szCs w:val="20"/>
        </w:rPr>
        <w:t xml:space="preserve">when </w:t>
      </w:r>
      <w:r w:rsidR="007A2F78" w:rsidRPr="00F357F5">
        <w:rPr>
          <w:color w:val="auto"/>
          <w:sz w:val="20"/>
          <w:szCs w:val="20"/>
        </w:rPr>
        <w:t>there is a likelihood of confusion. Last</w:t>
      </w:r>
      <w:r w:rsidR="000366FD" w:rsidRPr="00F357F5">
        <w:rPr>
          <w:color w:val="auto"/>
          <w:sz w:val="20"/>
          <w:szCs w:val="20"/>
        </w:rPr>
        <w:t>, s</w:t>
      </w:r>
      <w:r w:rsidR="007A2F78" w:rsidRPr="00F357F5">
        <w:rPr>
          <w:color w:val="auto"/>
          <w:sz w:val="20"/>
          <w:szCs w:val="20"/>
        </w:rPr>
        <w:t xml:space="preserve">ection 10(17) provides for an opposition in the case of an application for the registration of a confusingly similar mark, the use of which would be likely to take unfair advantage of or be detrimental to the distinctive character or reputation of a well-known (or rather famous) registered </w:t>
      </w:r>
      <w:r w:rsidR="00241726" w:rsidRPr="00F357F5">
        <w:rPr>
          <w:color w:val="auto"/>
          <w:sz w:val="20"/>
          <w:szCs w:val="20"/>
        </w:rPr>
        <w:t>trade mark</w:t>
      </w:r>
      <w:r w:rsidR="007A2F78" w:rsidRPr="00F357F5">
        <w:rPr>
          <w:color w:val="auto"/>
          <w:sz w:val="20"/>
          <w:szCs w:val="20"/>
        </w:rPr>
        <w:t xml:space="preserve">, notwithstanding the absence of confusion. This would cover, for instance, an application for the mark Alfa Romeo for car polish, even if the proprietor of that mark does not have a registration for such products. </w:t>
      </w:r>
    </w:p>
    <w:p w:rsidR="007A2F78" w:rsidRPr="00F357F5" w:rsidRDefault="007A2F78" w:rsidP="00F357F5">
      <w:pPr>
        <w:pStyle w:val="Default"/>
        <w:spacing w:line="276" w:lineRule="auto"/>
        <w:jc w:val="both"/>
        <w:rPr>
          <w:color w:val="auto"/>
          <w:sz w:val="20"/>
          <w:szCs w:val="20"/>
        </w:rPr>
      </w:pPr>
    </w:p>
    <w:p w:rsidR="007A2F78" w:rsidRPr="00F357F5" w:rsidRDefault="007A2F78" w:rsidP="00F357F5">
      <w:pPr>
        <w:pStyle w:val="Default"/>
        <w:spacing w:line="276" w:lineRule="auto"/>
        <w:jc w:val="both"/>
        <w:rPr>
          <w:color w:val="auto"/>
          <w:sz w:val="20"/>
          <w:szCs w:val="20"/>
        </w:rPr>
      </w:pPr>
      <w:r w:rsidRPr="00F357F5">
        <w:rPr>
          <w:color w:val="auto"/>
          <w:sz w:val="20"/>
          <w:szCs w:val="20"/>
        </w:rPr>
        <w:t>After an application is accepted, it is advertised for opposition purposes. It can then be opposed within certain time periods. The grounds of opposition are the same as the grounds on which the application can be refused by the Registrar. The prescribed procedure corresponds to a lar</w:t>
      </w:r>
      <w:r w:rsidR="000366FD" w:rsidRPr="00F357F5">
        <w:rPr>
          <w:color w:val="auto"/>
          <w:sz w:val="20"/>
          <w:szCs w:val="20"/>
        </w:rPr>
        <w:t>ge extent with that set out in r</w:t>
      </w:r>
      <w:r w:rsidRPr="00F357F5">
        <w:rPr>
          <w:color w:val="auto"/>
          <w:sz w:val="20"/>
          <w:szCs w:val="20"/>
        </w:rPr>
        <w:t xml:space="preserve">ule 6 of the High Court rules. </w:t>
      </w:r>
    </w:p>
    <w:p w:rsidR="007A2F78" w:rsidRPr="00F357F5" w:rsidRDefault="007A2F78" w:rsidP="00F357F5">
      <w:pPr>
        <w:pStyle w:val="Default"/>
        <w:spacing w:line="276" w:lineRule="auto"/>
        <w:jc w:val="both"/>
        <w:rPr>
          <w:color w:val="auto"/>
          <w:sz w:val="20"/>
          <w:szCs w:val="20"/>
        </w:rPr>
      </w:pPr>
    </w:p>
    <w:p w:rsidR="00CD42DE" w:rsidRPr="00F357F5" w:rsidRDefault="007A2F78" w:rsidP="00F357F5">
      <w:pPr>
        <w:pStyle w:val="Default"/>
        <w:spacing w:line="276" w:lineRule="auto"/>
        <w:jc w:val="both"/>
        <w:rPr>
          <w:color w:val="auto"/>
          <w:sz w:val="20"/>
          <w:szCs w:val="20"/>
        </w:rPr>
      </w:pPr>
      <w:r w:rsidRPr="00F357F5">
        <w:rPr>
          <w:sz w:val="20"/>
          <w:szCs w:val="20"/>
        </w:rPr>
        <w:t>Prof Wim Alberts</w:t>
      </w:r>
    </w:p>
    <w:p w:rsidR="00CD42DE" w:rsidRPr="00F357F5" w:rsidRDefault="00CD42DE" w:rsidP="00F357F5">
      <w:pPr>
        <w:pStyle w:val="Default"/>
        <w:spacing w:line="276" w:lineRule="auto"/>
        <w:jc w:val="both"/>
        <w:rPr>
          <w:color w:val="auto"/>
          <w:sz w:val="20"/>
          <w:szCs w:val="20"/>
        </w:rPr>
      </w:pPr>
    </w:p>
    <w:p w:rsidR="0089673C" w:rsidRPr="00F357F5" w:rsidRDefault="0089673C" w:rsidP="00F357F5">
      <w:pPr>
        <w:spacing w:after="0"/>
        <w:jc w:val="both"/>
      </w:pPr>
    </w:p>
    <w:sectPr w:rsidR="0089673C" w:rsidRPr="00F357F5" w:rsidSect="006C01C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2C14"/>
    <w:rsid w:val="000366FD"/>
    <w:rsid w:val="00241726"/>
    <w:rsid w:val="004378F4"/>
    <w:rsid w:val="004942BD"/>
    <w:rsid w:val="00680320"/>
    <w:rsid w:val="006A0CDF"/>
    <w:rsid w:val="006C01C5"/>
    <w:rsid w:val="006E1387"/>
    <w:rsid w:val="00777001"/>
    <w:rsid w:val="007A2F78"/>
    <w:rsid w:val="00822C14"/>
    <w:rsid w:val="0089673C"/>
    <w:rsid w:val="00920794"/>
    <w:rsid w:val="00A174AC"/>
    <w:rsid w:val="00B72B0F"/>
    <w:rsid w:val="00CA6DB8"/>
    <w:rsid w:val="00CC3216"/>
    <w:rsid w:val="00CD42DE"/>
    <w:rsid w:val="00E7685B"/>
    <w:rsid w:val="00E84F9B"/>
    <w:rsid w:val="00F357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D42DE"/>
    <w:pPr>
      <w:autoSpaceDE w:val="0"/>
      <w:autoSpaceDN w:val="0"/>
      <w:adjustRightInd w:val="0"/>
      <w:spacing w:after="0" w:line="240" w:lineRule="auto"/>
    </w:pPr>
    <w:rPr>
      <w:color w:val="000000"/>
      <w:sz w:val="24"/>
      <w:szCs w:val="24"/>
    </w:rPr>
  </w:style>
  <w:style w:type="paragraph" w:styleId="BalloonText">
    <w:name w:val="Balloon Text"/>
    <w:basedOn w:val="Normal"/>
    <w:link w:val="BalloonTextChar"/>
    <w:uiPriority w:val="99"/>
    <w:semiHidden/>
    <w:unhideWhenUsed/>
    <w:rsid w:val="007770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700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D42DE"/>
    <w:pPr>
      <w:autoSpaceDE w:val="0"/>
      <w:autoSpaceDN w:val="0"/>
      <w:adjustRightInd w:val="0"/>
      <w:spacing w:after="0" w:line="240" w:lineRule="auto"/>
    </w:pPr>
    <w:rPr>
      <w:color w:val="000000"/>
      <w:sz w:val="24"/>
      <w:szCs w:val="24"/>
    </w:rPr>
  </w:style>
  <w:style w:type="paragraph" w:styleId="BalloonText">
    <w:name w:val="Balloon Text"/>
    <w:basedOn w:val="Normal"/>
    <w:link w:val="BalloonTextChar"/>
    <w:uiPriority w:val="99"/>
    <w:semiHidden/>
    <w:unhideWhenUsed/>
    <w:rsid w:val="007770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700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11" Type="http://schemas.openxmlformats.org/officeDocument/2006/relationships/customXml" Target="../customXml/item5.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_dlc_DocId xmlns="f376de5d-2727-4fc3-a3e9-51e988513571">UDSYSTPJJFXM-987398822-48</_dlc_DocId>
    <_dlc_DocIdUrl xmlns="f376de5d-2727-4fc3-a3e9-51e988513571">
      <Url>https://www.uj.ac.za/faculties/law/_layouts/15/DocIdRedir.aspx?ID=UDSYSTPJJFXM-987398822-48</Url>
      <Description>UDSYSTPJJFXM-987398822-48</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Content Type" ma:contentTypeID="0x010100F2AAA3013CE44D7AB0110D339B2F59DF00863A2CABF753944696ECCBCE3DC4362E" ma:contentTypeVersion="1" ma:contentTypeDescription="The UJ content type for Documents" ma:contentTypeScope="" ma:versionID="6a2529ceade0400f7e27bfb884257989">
  <xsd:schema xmlns:xsd="http://www.w3.org/2001/XMLSchema" xmlns:xs="http://www.w3.org/2001/XMLSchema" xmlns:p="http://schemas.microsoft.com/office/2006/metadata/properties" xmlns:ns2="060e843d-aa89-4fb6-a3e3-c09f830efa04" targetNamespace="http://schemas.microsoft.com/office/2006/metadata/properties" ma:root="true" ma:fieldsID="0e66b9537c1579b0045688d694a341dd" ns2:_="">
    <xsd:import namespace="060e843d-aa89-4fb6-a3e3-c09f830efa04"/>
    <xsd:element name="properties">
      <xsd:complexType>
        <xsd:sequence>
          <xsd:element name="documentManagement">
            <xsd:complexType>
              <xsd:all>
                <xsd:element ref="ns2:UJ_Document_Author"/>
                <xsd:element ref="ns2:AD_x0020_Author" minOccurs="0"/>
                <xsd:element ref="ns2:Document_x0020_Publish_x0020_Date" minOccurs="0"/>
                <xsd:element ref="ns2:UJ_Faculty" minOccurs="0"/>
                <xsd:element ref="ns2:UJ_Depart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0e843d-aa89-4fb6-a3e3-c09f830efa04" elementFormDefault="qualified">
    <xsd:import namespace="http://schemas.microsoft.com/office/2006/documentManagement/types"/>
    <xsd:import namespace="http://schemas.microsoft.com/office/infopath/2007/PartnerControls"/>
    <xsd:element name="UJ_Document_Author" ma:index="8" ma:displayName="Document Author" ma:internalName="UJ_Document_Author">
      <xsd:simpleType>
        <xsd:restriction base="dms:Text"/>
      </xsd:simpleType>
    </xsd:element>
    <xsd:element name="AD_x0020_Author" ma:index="9" nillable="true" ma:displayName="AD Author" ma:internalName="AD_x0020_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_x0020_Publish_x0020_Date" ma:index="10" nillable="true" ma:displayName="Document Publish Date" ma:format="DateTime" ma:internalName="Document_x0020_Publish_x0020_Date">
      <xsd:simpleType>
        <xsd:restriction base="dms:DateTime"/>
      </xsd:simpleType>
    </xsd:element>
    <xsd:element name="UJ_Faculty" ma:index="12" nillable="true" ma:displayName="Faculty" ma:internalName="UJ_Faculty">
      <xsd:simpleType>
        <xsd:restriction base="dms:Unknown"/>
      </xsd:simpleType>
    </xsd:element>
    <xsd:element name="UJ_Department" ma:index="13" nillable="true" ma:displayName="Department" ma:internalName="UJ_Department">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ct:contentTypeSchema xmlns:ct="http://schemas.microsoft.com/office/2006/metadata/contentType" xmlns:ma="http://schemas.microsoft.com/office/2006/metadata/properties/metaAttributes" ct:_="" ma:_="" ma:contentTypeName="Document" ma:contentTypeID="0x0101002C3D4E44855C2C439E71CB6ED31A7DE8" ma:contentTypeVersion="1" ma:contentTypeDescription="Create a new document." ma:contentTypeScope="" ma:versionID="8a2a96bcbfcfeca06582569b32c65de0">
  <xsd:schema xmlns:xsd="http://www.w3.org/2001/XMLSchema" xmlns:xs="http://www.w3.org/2001/XMLSchema" xmlns:p="http://schemas.microsoft.com/office/2006/metadata/properties" xmlns:ns1="http://schemas.microsoft.com/sharepoint/v3" xmlns:ns2="f376de5d-2727-4fc3-a3e9-51e988513571" targetNamespace="http://schemas.microsoft.com/office/2006/metadata/properties" ma:root="true" ma:fieldsID="82909d7174f547e71325df685c084f4c" ns1:_="" ns2:_="">
    <xsd:import namespace="http://schemas.microsoft.com/sharepoint/v3"/>
    <xsd:import namespace="f376de5d-2727-4fc3-a3e9-51e988513571"/>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376de5d-2727-4fc3-a3e9-51e988513571"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264B013F-5A4F-4F5E-BFB1-6CC4B672432C}"/>
</file>

<file path=customXml/itemProps2.xml><?xml version="1.0" encoding="utf-8"?>
<ds:datastoreItem xmlns:ds="http://schemas.openxmlformats.org/officeDocument/2006/customXml" ds:itemID="{46802D62-39FA-4B6E-BE5B-862F32B32868}"/>
</file>

<file path=customXml/itemProps3.xml><?xml version="1.0" encoding="utf-8"?>
<ds:datastoreItem xmlns:ds="http://schemas.openxmlformats.org/officeDocument/2006/customXml" ds:itemID="{7D0260F0-3F8B-47A9-BEA1-F2BEFCBC744B}"/>
</file>

<file path=customXml/itemProps4.xml><?xml version="1.0" encoding="utf-8"?>
<ds:datastoreItem xmlns:ds="http://schemas.openxmlformats.org/officeDocument/2006/customXml" ds:itemID="{8F770725-6D1A-4C7E-A4FC-AAD8D1C0B50E}"/>
</file>

<file path=customXml/itemProps5.xml><?xml version="1.0" encoding="utf-8"?>
<ds:datastoreItem xmlns:ds="http://schemas.openxmlformats.org/officeDocument/2006/customXml" ds:itemID="{7F54EAF6-2B71-46DF-A59A-42DAEEAB04B4}"/>
</file>

<file path=docProps/app.xml><?xml version="1.0" encoding="utf-8"?>
<Properties xmlns="http://schemas.openxmlformats.org/officeDocument/2006/extended-properties" xmlns:vt="http://schemas.openxmlformats.org/officeDocument/2006/docPropsVTypes">
  <Template>Normal</Template>
  <TotalTime>0</TotalTime>
  <Pages>4</Pages>
  <Words>1659</Words>
  <Characters>9462</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THE REGISTRATION OF TRADE MARKS </vt:lpstr>
    </vt:vector>
  </TitlesOfParts>
  <Manager/>
  <Company/>
  <LinksUpToDate>false</LinksUpToDate>
  <CharactersWithSpaces>11099</CharactersWithSpaces>
  <SharedDoc>false</SharedDoc>
  <HyperlinkBase>http://www.uj.ac.za/EN/Faculties/law/research/IntellectualProperty/Pages/home.aspx</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REGISTRATION OF TRADE MARKS </dc:title>
  <dc:subject>Law - Intellectual Property</dc:subject>
  <dc:creator/>
  <cp:keywords>UJ, University of Johannesburg, “University of Johannesburg”, Faculty of Law, South Africa, “South Africa”, “http://www.uj.ac.za”, Law, "Intellectual Property", IP</cp:keywords>
  <cp:lastModifiedBy/>
  <cp:revision>1</cp:revision>
  <dcterms:created xsi:type="dcterms:W3CDTF">2012-01-25T09:18:00Z</dcterms:created>
  <dcterms:modified xsi:type="dcterms:W3CDTF">2012-01-30T11:08:00Z</dcterms:modified>
  <cp:category>Law - Intellectual Property</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0x0101002C3D4E44855C2C439E71CB6ED31A7DE8</vt:lpwstr>
  </property>
  <property fmtid="{D5CDD505-2E9C-101B-9397-08002B2CF9AE}" pid="3" name="_dlc_DocIdItemGuid">
    <vt:lpwstr>a748bbaf-ae9d-4c8d-8d16-922238db8ec3</vt:lpwstr>
  </property>
</Properties>
</file>